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中共辽宁省沈阳市浑南区委机构编制委员会办公室</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中共辽宁省沈阳市浑南区委机构编制委员会办公室</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中共辽宁省沈阳市浑南区委机构编制委员会办公室</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中共辽宁省沈阳市浑南区委机构编制委员会办公室</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中共辽宁省沈阳市浑南区委机构编制委员会办公室</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中共辽宁省沈阳市浑南区委机构编制委员会办公室概况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（一）在区委、区政府和区委机构编制委员会领导下，负责区委(党工委)、人大、政府(管委会)、政协、法院、检察院机关，各民主党派、群众团体及事业单位机构改革和编制管理工作。</w:t>
        <w:br/>
        <w:t xml:space="preserve">    （二）贯彻执行上级关于行政管理体制和机构改革、机构编制管理的方针政策、法律法规，拟订全区行政管理体制和机构改革总体方案、机构编制管理政策法规并组织实施，指导、协调全区各部门行政管理体制和机构改革、机构编制管理工作。</w:t>
        <w:br/>
        <w:t xml:space="preserve">    （三）负责全区各部门机构编制总量管理和实名制管理，拟定全区各部门行政编制分配方案和全区事业单位编制总量控制方案。</w:t>
        <w:br/>
        <w:t xml:space="preserve">    （四）拟定全区机构改革方案并组织实施。</w:t>
        <w:br/>
        <w:t xml:space="preserve">    （五）按照管理权限，负责全区机关机构设置、职责配置、人员编制的审核和审批，负责议事协调机构日常管理，审核机关机构设置，协调全区各部门之间的职责分工。</w:t>
        <w:br/>
        <w:t xml:space="preserve">    （六）拟定全区事业单位机构改革方案并组织实施，配合行业管理体制改革，做好相关事业单位机构改革工作。</w:t>
        <w:br/>
        <w:t xml:space="preserve">    （七）按照管理权限，负责全区事业单位机构设置、职责配置、人员编制、编制结构、领导职数、经费渠道等事项的审核和审批。</w:t>
        <w:br/>
        <w:t xml:space="preserve">    （八）监督检查全区各部门行政管理体制和机构改革方案以及机构编制的执行情况，建立机构编制工作考核评估制度，会同有关部门查处机构编制违法违纪行为。</w:t>
        <w:br/>
        <w:t xml:space="preserve">    （九）建立和完善全区事业单位法人登记制度，依法对区属事业单位进行登记管理。</w:t>
        <w:br/>
        <w:t xml:space="preserve">    （十）会同有关部门负责全区行政审批制度改革工作，参与全区政务公开工作。</w:t>
        <w:br/>
        <w:t xml:space="preserve">    （十一）承办区委、区政府和区委机构编制委员会交办的其他事项。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中共辽宁省沈阳市浑南区委机构编制委员会办公室</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中共沈阳市浑南区委机构编制委员会办公室本级，本单位无下设机构。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224.53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224.53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224.53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增加8.06万元，增长3.72%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人员变动</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224.53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222.86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99.26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工资福利支出199.08万元；商品和服务支出22.96万元；对个人和家庭的补助0.82万元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0.74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主要包括商品和服务等业务支出。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增加8.06万元，增长3.72%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人员变动</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按照要求全额使用该项资金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224.53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222.86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1.67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增加8.72万元，增长4.04%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人员变动</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87.48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87.58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76.30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2024年度一般公共预算财政拨款支出224.53万元。按支出功能分类科目分，包括：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1.一般公共服务支出169.64万元，具体包括：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（1）一般公共服务支出（类）组织事务（款）行政运行（项）167.97万元,主要是工资福利、商品和服务等支出，完成年初预算的87.9%，决算数与年初预算数存在差异的主要原因是人员变动。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（2）一般公共服务支出（类）组织事务（款）一般行政管理事务（项）1.67万元,主要是商品和服务等支出，完成年初预算的76.3%，决算数与年初预算数存在差异的主要原因是按照实际情况支出。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2.社会保障和就业支出22.83万元，具体包括：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0.82万元,主要是退休费等支出，完成年初预算的132.26%，决算数与年初预算数存在差异的主要原因是补发退休人员一次性独生子女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22.01万元,主要是机关事业单位基本养老保险缴费等支出，完成年初预算的99.1%，决算数与年初预算数存在差异的主要原因是按要求调整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3.卫生健康支出8.68万元，具体包括：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（1）卫生健康支出（类）行政事业单位医疗（款）行政单位医疗（项）8.68万元,主要是职工基本医疗保险缴费等支出，完成年初预算的97.76%，决算数与年初预算数存在差异的主要原因是按要求调整基数。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4.住房保障支出23.38万元，具体包括：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（1）住房保障支出（类）住房改革支出（款）住房公积金（项）23.38万元,主要是住房公积金等支出，完成年初预算的71.07%，决算数与年初预算数存在差异的主要原因是按要求调整基数。</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222.86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199.90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22.96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22.96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比上年增加8.21万元，增长55.66%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人员变动，人数增加资金使用增加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具体而言，本年度我部门共组织对2个项目实施了绩效评价。从预算资金来源看，涉及一般公共预算的项目2个，涉及政府性基金预算的项目0个，涉及国有资本经营预算的项目0个。</w:t>
        <w:br/>
        <w:t xml:space="preserve">    上述评价工作共涉及财政资金274.02万元。其中，一般公共预算资金274.02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1个。各项目自评发现，部分项目存在个别效益指标未能完全达成问题，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我部门组织对1个项目重点评价，结果显示，被评价项目整体绩效情况良好。其中：第一个重点项目为残疾人就业保障金经费，涉及资金1.89万元，评价平均分为98.84分，评级情况为优。</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16.一般公共服务支出（类）组织事务（款）行政运行（项）：反映行政单位（包括实行公务员管理的事业单位）的基本支出。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224.53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169.64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22.83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23.38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224.53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224.53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224.53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224.53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224.53</w:t>
            </w:r>
          </w:p>
        </w:tc>
        <w:tc>
          <w:tcPr>
            <w:tcW w:w="960" w:type="dxa"/>
            <w:tcBorders/>
            <w:vAlign w:val="center"/>
          </w:tcPr>
          <w:p>
            <w:pPr>
              <w:jc w:val="right"/>
            </w:pPr>
            <w:r>
              <w:rPr>
                <w:rFonts w:ascii="宋体" w:eastAsia="宋体" w:hAnsi="宋体" w:cs="宋体"/>
                <w:b/>
                <w:i w:val="0"/>
                <w:color w:val="000000"/>
                <w:sz w:val="13"/>
              </w:rPr>
              <w:t xml:space="preserve">224.53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169.64</w:t>
            </w:r>
          </w:p>
        </w:tc>
        <w:tc>
          <w:tcPr>
            <w:tcW w:w="960" w:type="dxa"/>
            <w:tcBorders/>
            <w:vAlign w:val="center"/>
          </w:tcPr>
          <w:p>
            <w:pPr>
              <w:jc w:val="right"/>
            </w:pPr>
            <w:r>
              <w:rPr>
                <w:rFonts w:ascii="宋体" w:eastAsia="宋体" w:hAnsi="宋体" w:cs="宋体"/>
                <w:b w:val="0"/>
                <w:i w:val="0"/>
                <w:color w:val="000000"/>
                <w:sz w:val="13"/>
              </w:rPr>
              <w:t xml:space="preserve">169.64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169.64</w:t>
            </w:r>
          </w:p>
        </w:tc>
        <w:tc>
          <w:tcPr>
            <w:tcW w:w="960" w:type="dxa"/>
            <w:tcBorders/>
            <w:vAlign w:val="center"/>
          </w:tcPr>
          <w:p>
            <w:pPr>
              <w:jc w:val="right"/>
            </w:pPr>
            <w:r>
              <w:rPr>
                <w:rFonts w:ascii="宋体" w:eastAsia="宋体" w:hAnsi="宋体" w:cs="宋体"/>
                <w:b w:val="0"/>
                <w:i w:val="0"/>
                <w:color w:val="000000"/>
                <w:sz w:val="13"/>
              </w:rPr>
              <w:t xml:space="preserve">169.64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167.97</w:t>
            </w:r>
          </w:p>
        </w:tc>
        <w:tc>
          <w:tcPr>
            <w:tcW w:w="960" w:type="dxa"/>
            <w:tcBorders/>
            <w:vAlign w:val="center"/>
          </w:tcPr>
          <w:p>
            <w:pPr>
              <w:jc w:val="right"/>
            </w:pPr>
            <w:r>
              <w:rPr>
                <w:rFonts w:ascii="宋体" w:eastAsia="宋体" w:hAnsi="宋体" w:cs="宋体"/>
                <w:b w:val="0"/>
                <w:i w:val="0"/>
                <w:color w:val="000000"/>
                <w:sz w:val="13"/>
              </w:rPr>
              <w:t xml:space="preserve">167.97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1.67</w:t>
            </w:r>
          </w:p>
        </w:tc>
        <w:tc>
          <w:tcPr>
            <w:tcW w:w="960" w:type="dxa"/>
            <w:tcBorders/>
            <w:vAlign w:val="center"/>
          </w:tcPr>
          <w:p>
            <w:pPr>
              <w:jc w:val="right"/>
            </w:pPr>
            <w:r>
              <w:rPr>
                <w:rFonts w:ascii="宋体" w:eastAsia="宋体" w:hAnsi="宋体" w:cs="宋体"/>
                <w:b w:val="0"/>
                <w:i w:val="0"/>
                <w:color w:val="000000"/>
                <w:sz w:val="13"/>
              </w:rPr>
              <w:t xml:space="preserve">1.67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22.83</w:t>
            </w:r>
          </w:p>
        </w:tc>
        <w:tc>
          <w:tcPr>
            <w:tcW w:w="960" w:type="dxa"/>
            <w:tcBorders/>
            <w:vAlign w:val="center"/>
          </w:tcPr>
          <w:p>
            <w:pPr>
              <w:jc w:val="right"/>
            </w:pPr>
            <w:r>
              <w:rPr>
                <w:rFonts w:ascii="宋体" w:eastAsia="宋体" w:hAnsi="宋体" w:cs="宋体"/>
                <w:b w:val="0"/>
                <w:i w:val="0"/>
                <w:color w:val="000000"/>
                <w:sz w:val="13"/>
              </w:rPr>
              <w:t xml:space="preserve">22.83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22.83</w:t>
            </w:r>
          </w:p>
        </w:tc>
        <w:tc>
          <w:tcPr>
            <w:tcW w:w="960" w:type="dxa"/>
            <w:tcBorders/>
            <w:vAlign w:val="center"/>
          </w:tcPr>
          <w:p>
            <w:pPr>
              <w:jc w:val="right"/>
            </w:pPr>
            <w:r>
              <w:rPr>
                <w:rFonts w:ascii="宋体" w:eastAsia="宋体" w:hAnsi="宋体" w:cs="宋体"/>
                <w:b w:val="0"/>
                <w:i w:val="0"/>
                <w:color w:val="000000"/>
                <w:sz w:val="13"/>
              </w:rPr>
              <w:t xml:space="preserve">22.83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22.01</w:t>
            </w:r>
          </w:p>
        </w:tc>
        <w:tc>
          <w:tcPr>
            <w:tcW w:w="960" w:type="dxa"/>
            <w:tcBorders/>
            <w:vAlign w:val="center"/>
          </w:tcPr>
          <w:p>
            <w:pPr>
              <w:jc w:val="right"/>
            </w:pPr>
            <w:r>
              <w:rPr>
                <w:rFonts w:ascii="宋体" w:eastAsia="宋体" w:hAnsi="宋体" w:cs="宋体"/>
                <w:b w:val="0"/>
                <w:i w:val="0"/>
                <w:color w:val="000000"/>
                <w:sz w:val="13"/>
              </w:rPr>
              <w:t xml:space="preserve">22.01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8.68</w:t>
            </w:r>
          </w:p>
        </w:tc>
        <w:tc>
          <w:tcPr>
            <w:tcW w:w="960" w:type="dxa"/>
            <w:tcBorders/>
            <w:vAlign w:val="center"/>
          </w:tcPr>
          <w:p>
            <w:pPr>
              <w:jc w:val="right"/>
            </w:pPr>
            <w:r>
              <w:rPr>
                <w:rFonts w:ascii="宋体" w:eastAsia="宋体" w:hAnsi="宋体" w:cs="宋体"/>
                <w:b w:val="0"/>
                <w:i w:val="0"/>
                <w:color w:val="000000"/>
                <w:sz w:val="13"/>
              </w:rPr>
              <w:t xml:space="preserve">8.68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8.68</w:t>
            </w:r>
          </w:p>
        </w:tc>
        <w:tc>
          <w:tcPr>
            <w:tcW w:w="960" w:type="dxa"/>
            <w:tcBorders/>
            <w:vAlign w:val="center"/>
          </w:tcPr>
          <w:p>
            <w:pPr>
              <w:jc w:val="right"/>
            </w:pPr>
            <w:r>
              <w:rPr>
                <w:rFonts w:ascii="宋体" w:eastAsia="宋体" w:hAnsi="宋体" w:cs="宋体"/>
                <w:b w:val="0"/>
                <w:i w:val="0"/>
                <w:color w:val="000000"/>
                <w:sz w:val="13"/>
              </w:rPr>
              <w:t xml:space="preserve">8.68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8.68</w:t>
            </w:r>
          </w:p>
        </w:tc>
        <w:tc>
          <w:tcPr>
            <w:tcW w:w="960" w:type="dxa"/>
            <w:tcBorders/>
            <w:vAlign w:val="center"/>
          </w:tcPr>
          <w:p>
            <w:pPr>
              <w:jc w:val="right"/>
            </w:pPr>
            <w:r>
              <w:rPr>
                <w:rFonts w:ascii="宋体" w:eastAsia="宋体" w:hAnsi="宋体" w:cs="宋体"/>
                <w:b w:val="0"/>
                <w:i w:val="0"/>
                <w:color w:val="000000"/>
                <w:sz w:val="13"/>
              </w:rPr>
              <w:t xml:space="preserve">8.68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23.38</w:t>
            </w:r>
          </w:p>
        </w:tc>
        <w:tc>
          <w:tcPr>
            <w:tcW w:w="960" w:type="dxa"/>
            <w:tcBorders/>
            <w:vAlign w:val="center"/>
          </w:tcPr>
          <w:p>
            <w:pPr>
              <w:jc w:val="right"/>
            </w:pPr>
            <w:r>
              <w:rPr>
                <w:rFonts w:ascii="宋体" w:eastAsia="宋体" w:hAnsi="宋体" w:cs="宋体"/>
                <w:b w:val="0"/>
                <w:i w:val="0"/>
                <w:color w:val="000000"/>
                <w:sz w:val="13"/>
              </w:rPr>
              <w:t xml:space="preserve">23.38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23.38</w:t>
            </w:r>
          </w:p>
        </w:tc>
        <w:tc>
          <w:tcPr>
            <w:tcW w:w="960" w:type="dxa"/>
            <w:tcBorders/>
            <w:vAlign w:val="center"/>
          </w:tcPr>
          <w:p>
            <w:pPr>
              <w:jc w:val="right"/>
            </w:pPr>
            <w:r>
              <w:rPr>
                <w:rFonts w:ascii="宋体" w:eastAsia="宋体" w:hAnsi="宋体" w:cs="宋体"/>
                <w:b w:val="0"/>
                <w:i w:val="0"/>
                <w:color w:val="000000"/>
                <w:sz w:val="13"/>
              </w:rPr>
              <w:t xml:space="preserve">23.38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23.38</w:t>
            </w:r>
          </w:p>
        </w:tc>
        <w:tc>
          <w:tcPr>
            <w:tcW w:w="960" w:type="dxa"/>
            <w:tcBorders/>
            <w:vAlign w:val="center"/>
          </w:tcPr>
          <w:p>
            <w:pPr>
              <w:jc w:val="right"/>
            </w:pPr>
            <w:r>
              <w:rPr>
                <w:rFonts w:ascii="宋体" w:eastAsia="宋体" w:hAnsi="宋体" w:cs="宋体"/>
                <w:b w:val="0"/>
                <w:i w:val="0"/>
                <w:color w:val="000000"/>
                <w:sz w:val="13"/>
              </w:rPr>
              <w:t xml:space="preserve">23.38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224.53</w:t>
            </w:r>
          </w:p>
        </w:tc>
        <w:tc>
          <w:tcPr>
            <w:tcW w:w="1060" w:type="dxa"/>
            <w:tcBorders/>
            <w:vAlign w:val="center"/>
          </w:tcPr>
          <w:p>
            <w:pPr>
              <w:jc w:val="right"/>
            </w:pPr>
            <w:r>
              <w:rPr>
                <w:rFonts w:ascii="宋体" w:eastAsia="宋体" w:hAnsi="宋体" w:cs="宋体"/>
                <w:b/>
                <w:i w:val="0"/>
                <w:color w:val="000000"/>
                <w:sz w:val="14"/>
              </w:rPr>
              <w:t xml:space="preserve">222.86</w:t>
            </w:r>
          </w:p>
        </w:tc>
        <w:tc>
          <w:tcPr>
            <w:tcW w:w="1060" w:type="dxa"/>
            <w:tcBorders/>
            <w:vAlign w:val="center"/>
          </w:tcPr>
          <w:p>
            <w:pPr>
              <w:jc w:val="right"/>
            </w:pPr>
            <w:r>
              <w:rPr>
                <w:rFonts w:ascii="宋体" w:eastAsia="宋体" w:hAnsi="宋体" w:cs="宋体"/>
                <w:b/>
                <w:i w:val="0"/>
                <w:color w:val="000000"/>
                <w:sz w:val="14"/>
              </w:rPr>
              <w:t xml:space="preserve">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169.64</w:t>
            </w:r>
          </w:p>
        </w:tc>
        <w:tc>
          <w:tcPr>
            <w:tcW w:w="1060" w:type="dxa"/>
            <w:tcBorders/>
            <w:vAlign w:val="center"/>
          </w:tcPr>
          <w:p>
            <w:pPr>
              <w:jc w:val="right"/>
            </w:pPr>
            <w:r>
              <w:rPr>
                <w:rFonts w:ascii="宋体" w:eastAsia="宋体" w:hAnsi="宋体" w:cs="宋体"/>
                <w:b w:val="0"/>
                <w:i w:val="0"/>
                <w:color w:val="000000"/>
                <w:sz w:val="14"/>
              </w:rPr>
              <w:t xml:space="preserve">167.97</w:t>
            </w:r>
          </w:p>
        </w:tc>
        <w:tc>
          <w:tcPr>
            <w:tcW w:w="1060" w:type="dxa"/>
            <w:tcBorders/>
            <w:vAlign w:val="center"/>
          </w:tcPr>
          <w:p>
            <w:pPr>
              <w:jc w:val="right"/>
            </w:pPr>
            <w:r>
              <w:rPr>
                <w:rFonts w:ascii="宋体" w:eastAsia="宋体" w:hAnsi="宋体" w:cs="宋体"/>
                <w:b w:val="0"/>
                <w:i w:val="0"/>
                <w:color w:val="000000"/>
                <w:sz w:val="14"/>
              </w:rPr>
              <w:t xml:space="preserve">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169.64</w:t>
            </w:r>
          </w:p>
        </w:tc>
        <w:tc>
          <w:tcPr>
            <w:tcW w:w="1060" w:type="dxa"/>
            <w:tcBorders/>
            <w:vAlign w:val="center"/>
          </w:tcPr>
          <w:p>
            <w:pPr>
              <w:jc w:val="right"/>
            </w:pPr>
            <w:r>
              <w:rPr>
                <w:rFonts w:ascii="宋体" w:eastAsia="宋体" w:hAnsi="宋体" w:cs="宋体"/>
                <w:b w:val="0"/>
                <w:i w:val="0"/>
                <w:color w:val="000000"/>
                <w:sz w:val="14"/>
              </w:rPr>
              <w:t xml:space="preserve">167.97</w:t>
            </w:r>
          </w:p>
        </w:tc>
        <w:tc>
          <w:tcPr>
            <w:tcW w:w="1060" w:type="dxa"/>
            <w:tcBorders/>
            <w:vAlign w:val="center"/>
          </w:tcPr>
          <w:p>
            <w:pPr>
              <w:jc w:val="right"/>
            </w:pPr>
            <w:r>
              <w:rPr>
                <w:rFonts w:ascii="宋体" w:eastAsia="宋体" w:hAnsi="宋体" w:cs="宋体"/>
                <w:b w:val="0"/>
                <w:i w:val="0"/>
                <w:color w:val="000000"/>
                <w:sz w:val="14"/>
              </w:rPr>
              <w:t xml:space="preserve">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167.97</w:t>
            </w:r>
          </w:p>
        </w:tc>
        <w:tc>
          <w:tcPr>
            <w:tcW w:w="1060" w:type="dxa"/>
            <w:tcBorders/>
            <w:vAlign w:val="center"/>
          </w:tcPr>
          <w:p>
            <w:pPr>
              <w:jc w:val="right"/>
            </w:pPr>
            <w:r>
              <w:rPr>
                <w:rFonts w:ascii="宋体" w:eastAsia="宋体" w:hAnsi="宋体" w:cs="宋体"/>
                <w:b w:val="0"/>
                <w:i w:val="0"/>
                <w:color w:val="000000"/>
                <w:sz w:val="14"/>
              </w:rPr>
              <w:t xml:space="preserve">167.97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22.83</w:t>
            </w:r>
          </w:p>
        </w:tc>
        <w:tc>
          <w:tcPr>
            <w:tcW w:w="1060" w:type="dxa"/>
            <w:tcBorders/>
            <w:vAlign w:val="center"/>
          </w:tcPr>
          <w:p>
            <w:pPr>
              <w:jc w:val="right"/>
            </w:pPr>
            <w:r>
              <w:rPr>
                <w:rFonts w:ascii="宋体" w:eastAsia="宋体" w:hAnsi="宋体" w:cs="宋体"/>
                <w:b w:val="0"/>
                <w:i w:val="0"/>
                <w:color w:val="000000"/>
                <w:sz w:val="14"/>
              </w:rPr>
              <w:t xml:space="preserve">22.83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22.83</w:t>
            </w:r>
          </w:p>
        </w:tc>
        <w:tc>
          <w:tcPr>
            <w:tcW w:w="1060" w:type="dxa"/>
            <w:tcBorders/>
            <w:vAlign w:val="center"/>
          </w:tcPr>
          <w:p>
            <w:pPr>
              <w:jc w:val="right"/>
            </w:pPr>
            <w:r>
              <w:rPr>
                <w:rFonts w:ascii="宋体" w:eastAsia="宋体" w:hAnsi="宋体" w:cs="宋体"/>
                <w:b w:val="0"/>
                <w:i w:val="0"/>
                <w:color w:val="000000"/>
                <w:sz w:val="14"/>
              </w:rPr>
              <w:t xml:space="preserve">22.83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22.01</w:t>
            </w:r>
          </w:p>
        </w:tc>
        <w:tc>
          <w:tcPr>
            <w:tcW w:w="1060" w:type="dxa"/>
            <w:tcBorders/>
            <w:vAlign w:val="center"/>
          </w:tcPr>
          <w:p>
            <w:pPr>
              <w:jc w:val="right"/>
            </w:pPr>
            <w:r>
              <w:rPr>
                <w:rFonts w:ascii="宋体" w:eastAsia="宋体" w:hAnsi="宋体" w:cs="宋体"/>
                <w:b w:val="0"/>
                <w:i w:val="0"/>
                <w:color w:val="000000"/>
                <w:sz w:val="14"/>
              </w:rPr>
              <w:t xml:space="preserve">22.01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8.68</w:t>
            </w:r>
          </w:p>
        </w:tc>
        <w:tc>
          <w:tcPr>
            <w:tcW w:w="1060" w:type="dxa"/>
            <w:tcBorders/>
            <w:vAlign w:val="center"/>
          </w:tcPr>
          <w:p>
            <w:pPr>
              <w:jc w:val="right"/>
            </w:pPr>
            <w:r>
              <w:rPr>
                <w:rFonts w:ascii="宋体" w:eastAsia="宋体" w:hAnsi="宋体" w:cs="宋体"/>
                <w:b w:val="0"/>
                <w:i w:val="0"/>
                <w:color w:val="000000"/>
                <w:sz w:val="14"/>
              </w:rPr>
              <w:t xml:space="preserve">8.68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8.68</w:t>
            </w:r>
          </w:p>
        </w:tc>
        <w:tc>
          <w:tcPr>
            <w:tcW w:w="1060" w:type="dxa"/>
            <w:tcBorders/>
            <w:vAlign w:val="center"/>
          </w:tcPr>
          <w:p>
            <w:pPr>
              <w:jc w:val="right"/>
            </w:pPr>
            <w:r>
              <w:rPr>
                <w:rFonts w:ascii="宋体" w:eastAsia="宋体" w:hAnsi="宋体" w:cs="宋体"/>
                <w:b w:val="0"/>
                <w:i w:val="0"/>
                <w:color w:val="000000"/>
                <w:sz w:val="14"/>
              </w:rPr>
              <w:t xml:space="preserve">8.68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8.68</w:t>
            </w:r>
          </w:p>
        </w:tc>
        <w:tc>
          <w:tcPr>
            <w:tcW w:w="1060" w:type="dxa"/>
            <w:tcBorders/>
            <w:vAlign w:val="center"/>
          </w:tcPr>
          <w:p>
            <w:pPr>
              <w:jc w:val="right"/>
            </w:pPr>
            <w:r>
              <w:rPr>
                <w:rFonts w:ascii="宋体" w:eastAsia="宋体" w:hAnsi="宋体" w:cs="宋体"/>
                <w:b w:val="0"/>
                <w:i w:val="0"/>
                <w:color w:val="000000"/>
                <w:sz w:val="14"/>
              </w:rPr>
              <w:t xml:space="preserve">8.68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23.38</w:t>
            </w:r>
          </w:p>
        </w:tc>
        <w:tc>
          <w:tcPr>
            <w:tcW w:w="1060" w:type="dxa"/>
            <w:tcBorders/>
            <w:vAlign w:val="center"/>
          </w:tcPr>
          <w:p>
            <w:pPr>
              <w:jc w:val="right"/>
            </w:pPr>
            <w:r>
              <w:rPr>
                <w:rFonts w:ascii="宋体" w:eastAsia="宋体" w:hAnsi="宋体" w:cs="宋体"/>
                <w:b w:val="0"/>
                <w:i w:val="0"/>
                <w:color w:val="000000"/>
                <w:sz w:val="14"/>
              </w:rPr>
              <w:t xml:space="preserve">23.38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23.38</w:t>
            </w:r>
          </w:p>
        </w:tc>
        <w:tc>
          <w:tcPr>
            <w:tcW w:w="1060" w:type="dxa"/>
            <w:tcBorders/>
            <w:vAlign w:val="center"/>
          </w:tcPr>
          <w:p>
            <w:pPr>
              <w:jc w:val="right"/>
            </w:pPr>
            <w:r>
              <w:rPr>
                <w:rFonts w:ascii="宋体" w:eastAsia="宋体" w:hAnsi="宋体" w:cs="宋体"/>
                <w:b w:val="0"/>
                <w:i w:val="0"/>
                <w:color w:val="000000"/>
                <w:sz w:val="14"/>
              </w:rPr>
              <w:t xml:space="preserve">23.38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23.38</w:t>
            </w:r>
          </w:p>
        </w:tc>
        <w:tc>
          <w:tcPr>
            <w:tcW w:w="1060" w:type="dxa"/>
            <w:tcBorders/>
            <w:vAlign w:val="center"/>
          </w:tcPr>
          <w:p>
            <w:pPr>
              <w:jc w:val="right"/>
            </w:pPr>
            <w:r>
              <w:rPr>
                <w:rFonts w:ascii="宋体" w:eastAsia="宋体" w:hAnsi="宋体" w:cs="宋体"/>
                <w:b w:val="0"/>
                <w:i w:val="0"/>
                <w:color w:val="000000"/>
                <w:sz w:val="14"/>
              </w:rPr>
              <w:t xml:space="preserve">23.38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169.64</w:t>
            </w:r>
          </w:p>
        </w:tc>
        <w:tc>
          <w:tcPr>
            <w:tcW w:w="1100" w:type="dxa"/>
            <w:tcBorders/>
            <w:vAlign w:val="center"/>
          </w:tcPr>
          <w:p>
            <w:pPr>
              <w:jc w:val="right"/>
            </w:pPr>
            <w:r>
              <w:rPr>
                <w:rFonts w:ascii="宋体" w:eastAsia="宋体" w:hAnsi="宋体" w:cs="宋体"/>
                <w:b w:val="0"/>
                <w:i w:val="0"/>
                <w:color w:val="000000"/>
                <w:sz w:val="14"/>
              </w:rPr>
              <w:t xml:space="preserve">169.64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22.83</w:t>
            </w:r>
          </w:p>
        </w:tc>
        <w:tc>
          <w:tcPr>
            <w:tcW w:w="1100" w:type="dxa"/>
            <w:tcBorders/>
            <w:vAlign w:val="center"/>
          </w:tcPr>
          <w:p>
            <w:pPr>
              <w:jc w:val="right"/>
            </w:pPr>
            <w:r>
              <w:rPr>
                <w:rFonts w:ascii="宋体" w:eastAsia="宋体" w:hAnsi="宋体" w:cs="宋体"/>
                <w:b w:val="0"/>
                <w:i w:val="0"/>
                <w:color w:val="000000"/>
                <w:sz w:val="14"/>
              </w:rPr>
              <w:t xml:space="preserve">22.83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8.68</w:t>
            </w:r>
          </w:p>
        </w:tc>
        <w:tc>
          <w:tcPr>
            <w:tcW w:w="1100" w:type="dxa"/>
            <w:tcBorders/>
            <w:vAlign w:val="center"/>
          </w:tcPr>
          <w:p>
            <w:pPr>
              <w:jc w:val="right"/>
            </w:pPr>
            <w:r>
              <w:rPr>
                <w:rFonts w:ascii="宋体" w:eastAsia="宋体" w:hAnsi="宋体" w:cs="宋体"/>
                <w:b w:val="0"/>
                <w:i w:val="0"/>
                <w:color w:val="000000"/>
                <w:sz w:val="14"/>
              </w:rPr>
              <w:t xml:space="preserve">8.68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23.38</w:t>
            </w:r>
          </w:p>
        </w:tc>
        <w:tc>
          <w:tcPr>
            <w:tcW w:w="1100" w:type="dxa"/>
            <w:tcBorders/>
            <w:vAlign w:val="center"/>
          </w:tcPr>
          <w:p>
            <w:pPr>
              <w:jc w:val="right"/>
            </w:pPr>
            <w:r>
              <w:rPr>
                <w:rFonts w:ascii="宋体" w:eastAsia="宋体" w:hAnsi="宋体" w:cs="宋体"/>
                <w:b w:val="0"/>
                <w:i w:val="0"/>
                <w:color w:val="000000"/>
                <w:sz w:val="14"/>
              </w:rPr>
              <w:t xml:space="preserve">23.38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1100" w:type="dxa"/>
            <w:tcBorders/>
            <w:vAlign w:val="center"/>
          </w:tcPr>
          <w:p>
            <w:pPr>
              <w:jc w:val="right"/>
            </w:pPr>
            <w:r>
              <w:rPr>
                <w:rFonts w:ascii="宋体" w:eastAsia="宋体" w:hAnsi="宋体" w:cs="宋体"/>
                <w:b w:val="0"/>
                <w:i w:val="0"/>
                <w:color w:val="000000"/>
                <w:sz w:val="14"/>
              </w:rPr>
              <w:t xml:space="preserve">224.53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224.53</w:t>
            </w:r>
          </w:p>
        </w:tc>
        <w:tc>
          <w:tcPr>
            <w:tcW w:w="1780" w:type="dxa"/>
            <w:tcBorders/>
            <w:vAlign w:val="center"/>
          </w:tcPr>
          <w:p>
            <w:pPr>
              <w:jc w:val="right"/>
            </w:pPr>
            <w:r>
              <w:rPr>
                <w:rFonts w:ascii="宋体" w:eastAsia="宋体" w:hAnsi="宋体" w:cs="宋体"/>
                <w:b/>
                <w:i w:val="0"/>
                <w:color w:val="000000"/>
                <w:sz w:val="18"/>
              </w:rPr>
              <w:t xml:space="preserve">222.86</w:t>
            </w:r>
          </w:p>
        </w:tc>
        <w:tc>
          <w:tcPr>
            <w:tcW w:w="1772" w:type="dxa"/>
            <w:tcBorders/>
            <w:vAlign w:val="center"/>
          </w:tcPr>
          <w:p>
            <w:pPr>
              <w:jc w:val="right"/>
            </w:pPr>
            <w:r>
              <w:rPr>
                <w:rFonts w:ascii="宋体" w:eastAsia="宋体" w:hAnsi="宋体" w:cs="宋体"/>
                <w:b/>
                <w:i w:val="0"/>
                <w:color w:val="000000"/>
                <w:sz w:val="18"/>
              </w:rPr>
              <w:t xml:space="preserve">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169.64</w:t>
            </w:r>
          </w:p>
        </w:tc>
        <w:tc>
          <w:tcPr>
            <w:tcW w:w="1780" w:type="dxa"/>
            <w:tcBorders/>
            <w:vAlign w:val="center"/>
          </w:tcPr>
          <w:p>
            <w:pPr>
              <w:jc w:val="right"/>
            </w:pPr>
            <w:r>
              <w:rPr>
                <w:rFonts w:ascii="宋体" w:eastAsia="宋体" w:hAnsi="宋体" w:cs="宋体"/>
                <w:b w:val="0"/>
                <w:i w:val="0"/>
                <w:color w:val="000000"/>
                <w:sz w:val="18"/>
              </w:rPr>
              <w:t xml:space="preserve">167.97</w:t>
            </w:r>
          </w:p>
        </w:tc>
        <w:tc>
          <w:tcPr>
            <w:tcW w:w="1772" w:type="dxa"/>
            <w:tcBorders/>
            <w:vAlign w:val="center"/>
          </w:tcPr>
          <w:p>
            <w:pPr>
              <w:jc w:val="right"/>
            </w:pPr>
            <w:r>
              <w:rPr>
                <w:rFonts w:ascii="宋体" w:eastAsia="宋体" w:hAnsi="宋体" w:cs="宋体"/>
                <w:b w:val="0"/>
                <w:i w:val="0"/>
                <w:color w:val="000000"/>
                <w:sz w:val="18"/>
              </w:rPr>
              <w:t xml:space="preserve">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169.64</w:t>
            </w:r>
          </w:p>
        </w:tc>
        <w:tc>
          <w:tcPr>
            <w:tcW w:w="1780" w:type="dxa"/>
            <w:tcBorders/>
            <w:vAlign w:val="center"/>
          </w:tcPr>
          <w:p>
            <w:pPr>
              <w:jc w:val="right"/>
            </w:pPr>
            <w:r>
              <w:rPr>
                <w:rFonts w:ascii="宋体" w:eastAsia="宋体" w:hAnsi="宋体" w:cs="宋体"/>
                <w:b w:val="0"/>
                <w:i w:val="0"/>
                <w:color w:val="000000"/>
                <w:sz w:val="18"/>
              </w:rPr>
              <w:t xml:space="preserve">167.97</w:t>
            </w:r>
          </w:p>
        </w:tc>
        <w:tc>
          <w:tcPr>
            <w:tcW w:w="1772" w:type="dxa"/>
            <w:tcBorders/>
            <w:vAlign w:val="center"/>
          </w:tcPr>
          <w:p>
            <w:pPr>
              <w:jc w:val="right"/>
            </w:pPr>
            <w:r>
              <w:rPr>
                <w:rFonts w:ascii="宋体" w:eastAsia="宋体" w:hAnsi="宋体" w:cs="宋体"/>
                <w:b w:val="0"/>
                <w:i w:val="0"/>
                <w:color w:val="000000"/>
                <w:sz w:val="18"/>
              </w:rPr>
              <w:t xml:space="preserve">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167.97</w:t>
            </w:r>
          </w:p>
        </w:tc>
        <w:tc>
          <w:tcPr>
            <w:tcW w:w="1780" w:type="dxa"/>
            <w:tcBorders/>
            <w:vAlign w:val="center"/>
          </w:tcPr>
          <w:p>
            <w:pPr>
              <w:jc w:val="right"/>
            </w:pPr>
            <w:r>
              <w:rPr>
                <w:rFonts w:ascii="宋体" w:eastAsia="宋体" w:hAnsi="宋体" w:cs="宋体"/>
                <w:b w:val="0"/>
                <w:i w:val="0"/>
                <w:color w:val="000000"/>
                <w:sz w:val="18"/>
              </w:rPr>
              <w:t xml:space="preserve">167.97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22.83</w:t>
            </w:r>
          </w:p>
        </w:tc>
        <w:tc>
          <w:tcPr>
            <w:tcW w:w="1780" w:type="dxa"/>
            <w:tcBorders/>
            <w:vAlign w:val="center"/>
          </w:tcPr>
          <w:p>
            <w:pPr>
              <w:jc w:val="right"/>
            </w:pPr>
            <w:r>
              <w:rPr>
                <w:rFonts w:ascii="宋体" w:eastAsia="宋体" w:hAnsi="宋体" w:cs="宋体"/>
                <w:b w:val="0"/>
                <w:i w:val="0"/>
                <w:color w:val="000000"/>
                <w:sz w:val="18"/>
              </w:rPr>
              <w:t xml:space="preserve">22.83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22.83</w:t>
            </w:r>
          </w:p>
        </w:tc>
        <w:tc>
          <w:tcPr>
            <w:tcW w:w="1780" w:type="dxa"/>
            <w:tcBorders/>
            <w:vAlign w:val="center"/>
          </w:tcPr>
          <w:p>
            <w:pPr>
              <w:jc w:val="right"/>
            </w:pPr>
            <w:r>
              <w:rPr>
                <w:rFonts w:ascii="宋体" w:eastAsia="宋体" w:hAnsi="宋体" w:cs="宋体"/>
                <w:b w:val="0"/>
                <w:i w:val="0"/>
                <w:color w:val="000000"/>
                <w:sz w:val="18"/>
              </w:rPr>
              <w:t xml:space="preserve">22.83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22.01</w:t>
            </w:r>
          </w:p>
        </w:tc>
        <w:tc>
          <w:tcPr>
            <w:tcW w:w="1780" w:type="dxa"/>
            <w:tcBorders/>
            <w:vAlign w:val="center"/>
          </w:tcPr>
          <w:p>
            <w:pPr>
              <w:jc w:val="right"/>
            </w:pPr>
            <w:r>
              <w:rPr>
                <w:rFonts w:ascii="宋体" w:eastAsia="宋体" w:hAnsi="宋体" w:cs="宋体"/>
                <w:b w:val="0"/>
                <w:i w:val="0"/>
                <w:color w:val="000000"/>
                <w:sz w:val="18"/>
              </w:rPr>
              <w:t xml:space="preserve">22.01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8.68</w:t>
            </w:r>
          </w:p>
        </w:tc>
        <w:tc>
          <w:tcPr>
            <w:tcW w:w="1780" w:type="dxa"/>
            <w:tcBorders/>
            <w:vAlign w:val="center"/>
          </w:tcPr>
          <w:p>
            <w:pPr>
              <w:jc w:val="right"/>
            </w:pPr>
            <w:r>
              <w:rPr>
                <w:rFonts w:ascii="宋体" w:eastAsia="宋体" w:hAnsi="宋体" w:cs="宋体"/>
                <w:b w:val="0"/>
                <w:i w:val="0"/>
                <w:color w:val="000000"/>
                <w:sz w:val="18"/>
              </w:rPr>
              <w:t xml:space="preserve">8.68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8.68</w:t>
            </w:r>
          </w:p>
        </w:tc>
        <w:tc>
          <w:tcPr>
            <w:tcW w:w="1780" w:type="dxa"/>
            <w:tcBorders/>
            <w:vAlign w:val="center"/>
          </w:tcPr>
          <w:p>
            <w:pPr>
              <w:jc w:val="right"/>
            </w:pPr>
            <w:r>
              <w:rPr>
                <w:rFonts w:ascii="宋体" w:eastAsia="宋体" w:hAnsi="宋体" w:cs="宋体"/>
                <w:b w:val="0"/>
                <w:i w:val="0"/>
                <w:color w:val="000000"/>
                <w:sz w:val="18"/>
              </w:rPr>
              <w:t xml:space="preserve">8.68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8.68</w:t>
            </w:r>
          </w:p>
        </w:tc>
        <w:tc>
          <w:tcPr>
            <w:tcW w:w="1780" w:type="dxa"/>
            <w:tcBorders/>
            <w:vAlign w:val="center"/>
          </w:tcPr>
          <w:p>
            <w:pPr>
              <w:jc w:val="right"/>
            </w:pPr>
            <w:r>
              <w:rPr>
                <w:rFonts w:ascii="宋体" w:eastAsia="宋体" w:hAnsi="宋体" w:cs="宋体"/>
                <w:b w:val="0"/>
                <w:i w:val="0"/>
                <w:color w:val="000000"/>
                <w:sz w:val="18"/>
              </w:rPr>
              <w:t xml:space="preserve">8.68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23.38</w:t>
            </w:r>
          </w:p>
        </w:tc>
        <w:tc>
          <w:tcPr>
            <w:tcW w:w="1780" w:type="dxa"/>
            <w:tcBorders/>
            <w:vAlign w:val="center"/>
          </w:tcPr>
          <w:p>
            <w:pPr>
              <w:jc w:val="right"/>
            </w:pPr>
            <w:r>
              <w:rPr>
                <w:rFonts w:ascii="宋体" w:eastAsia="宋体" w:hAnsi="宋体" w:cs="宋体"/>
                <w:b w:val="0"/>
                <w:i w:val="0"/>
                <w:color w:val="000000"/>
                <w:sz w:val="18"/>
              </w:rPr>
              <w:t xml:space="preserve">23.38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23.38</w:t>
            </w:r>
          </w:p>
        </w:tc>
        <w:tc>
          <w:tcPr>
            <w:tcW w:w="1780" w:type="dxa"/>
            <w:tcBorders/>
            <w:vAlign w:val="center"/>
          </w:tcPr>
          <w:p>
            <w:pPr>
              <w:jc w:val="right"/>
            </w:pPr>
            <w:r>
              <w:rPr>
                <w:rFonts w:ascii="宋体" w:eastAsia="宋体" w:hAnsi="宋体" w:cs="宋体"/>
                <w:b w:val="0"/>
                <w:i w:val="0"/>
                <w:color w:val="000000"/>
                <w:sz w:val="18"/>
              </w:rPr>
              <w:t xml:space="preserve">23.38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23.38</w:t>
            </w:r>
          </w:p>
        </w:tc>
        <w:tc>
          <w:tcPr>
            <w:tcW w:w="1780" w:type="dxa"/>
            <w:tcBorders/>
            <w:vAlign w:val="center"/>
          </w:tcPr>
          <w:p>
            <w:pPr>
              <w:jc w:val="right"/>
            </w:pPr>
            <w:r>
              <w:rPr>
                <w:rFonts w:ascii="宋体" w:eastAsia="宋体" w:hAnsi="宋体" w:cs="宋体"/>
                <w:b w:val="0"/>
                <w:i w:val="0"/>
                <w:color w:val="000000"/>
                <w:sz w:val="18"/>
              </w:rPr>
              <w:t xml:space="preserve">23.38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199.08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22.96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55.38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2.33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44.20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40.00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4.87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22.01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8.17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8.68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23.38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10.87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199.90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22.96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部门：中共辽宁省沈阳市浑南区委机构编制委员会办公室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010001中共沈阳市浑南区委机构编制委员会办公室本级-210112000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274.02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274.02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本单位预计按照全年预算执行，现基本按照预算进度完成。</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本单位按照预算进度完成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正确导向</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职工群众满意率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完成改革</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中共沈阳市浑南区委机构编制委员会办公室-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中共沈阳市浑南区委机构编制委员会办公室本级-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办公家具购置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中共沈阳市浑南区委机构编制委员会办公室-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中共沈阳市浑南区委机构编制委员会办公室本级-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