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中共辽宁省沈阳市浑南区纪律检查委员会（本级）</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中共辽宁省沈阳市浑南区纪律检查委员会（本级）</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中共辽宁省沈阳市浑南区纪律检查委员会（本级）</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中共辽宁省沈阳市浑南区纪律检查委员会（本级）</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中共辽宁省沈阳市浑南区纪律检查委员会（本级）</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中共辽宁省沈阳市浑南区纪律检查委员会（本级）概况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按照上级要求，浑南区纪委监委在省、市纪委和区委、区政府的领导下开展工作，其主要职能如下：</w:t>
        <w:br/>
        <w:t xml:space="preserve">    （一）负责贯彻落实党中央、省委、市和区关于加强党风廉政建设的决定，维护党的章程和其他党内法规，检查党的路线、方针、政策和决议的执行情况。负责贯彻落实党中央、国务院、省委、省政府、市委、市政府和区委、区政府有关行政监察工作的决定，监督检查区政府各部门及其工作人员和区政府任命的其他人员执行国家政策和法律法规、国民经济和社会发展计划及国务院、省、市、区政府颁发的决议和命令的情况。</w:t>
        <w:br/>
        <w:t xml:space="preserve">    （二）围绕党的中心工作和纪检监察工作任务，根据不同时期党风廉政建设的新情况、新问题进行调查研究；组织指导全区纪检监察系统的调研和纪检监察工作理论研究；做出关于维护党纪和政纪的决定；拟定全区党的纪律检查规章和行政监察的政策规定；制定全区从源头上预防和治理腐败的综合性措施，并监督、检查落实情况。</w:t>
        <w:br/>
        <w:t xml:space="preserve">    （三）负责综合分析全区各部门和行业作风建设的情况，制定全区纠风工作计划；履行区政府纠正部门和行业不正之风办公室职责，对全区纠风专项治理和行业作风建设工作进行指</w:t>
        <w:br/>
        <w:t xml:space="preserve">    导检查和督促协调。负责调查处理区直各部门党委和区委管理的党员领导干部违反党的章程及其他党内法规的案件，决定或取消给予涉案党员的处分；受理党员的控告和申诉；必要时直接查处下级党的纪检组织管辖范围内的比较重要或复杂的案件。负责调查处理区政府各部门主要负责人及其工作人员违反国家政策、法律法规以及违反政纪的行为，并根据责任人所犯的错误，做出行政处分（对涉及选举产生的领导干部按有关法定程序办理）；受理监察对象不服政纪处分的申诉；受理个人或单位对监察对象违纪行为的检举、控告。</w:t>
        <w:br/>
        <w:t xml:space="preserve">    （四）负责对全区各种党政纪案件的管理，以及对党政干部违纪倾向、特点、规律的研究；对全区纪检监察组织查办的重大案件进行组织协调、检查指导；总结全区案件查处和办案经验，指导全区工作。</w:t>
        <w:br/>
        <w:t xml:space="preserve">    （五）负责审理需区委、区政府和区纪委常委会、区监察局审批的违纪案件和报上级纪检监察机关审批的违纪案件；负责对本级或上级批准的案件申诉的复查、复议和下级呈报的重要复杂案件和备案案件的复审；负责对有关党纪条规和行政监察条例贯彻执行情况的检查指导。</w:t>
        <w:br/>
        <w:t xml:space="preserve">    （六）负责制定全区党风廉政教育规划，配合有关部门做好纪检监察工作方针、政策的宣传工作和对党政干部进行党风党纪和廉政教育工作。</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中共辽宁省沈阳市浑南区纪律检查委员会（本级）</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中共沈阳市浑南区纪律检查委员会本级，本单位无下设机构。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2300.75</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2300.75</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2300.75</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减少472.51万元，降低17.04%</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按照厉行节约文件要求，项目经费缩减</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2300.75</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1633.25</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70.99</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工资福利支出1467.36万元；商品和服务支出159.41万元；对个人和家庭的补助6.48万元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667.50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29.01</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主要包括业务宣传经费、纪检监察巡察专项业务经费、干部培训费、会议费、网络服务费、雇员及大学生公益岗经费等业务支出。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减少472.51万元，降低17.04%</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财政资金统筹与优化，压减一般性支出，优化支出结构</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本年度无结余，与上年相比持平</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2300.75</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1633.25</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667.50</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减少472.44万元，降低17.04%</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财政资金统筹与优化，压减一般性支出，优化支出结构</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87.16</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89.66</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81.59</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2024年度一般公共预算财政拨款支出2300.75万元。按支出功能分类科目分，包括：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1.一般公共服务支出1890.83万元，具体包括：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纪检监察事务（款）行政运行（项）1226.02万元,主要是主要是人员工资、津贴补贴、办公经费、伙食费、邮电费、交通费、工会经费等支出，完成年初预算的88.5%，决算数与年初预算数存在差异的主要原因是人员发生调整，绩效、公积金下调。</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一般公共服务支出（类）纪检监察事务（款）一般行政管理事务（项）625.00万元,主要是业务宣传经费、纪检监察巡察专项业务经费、会议费、网络服务费、雇员及大学生公益岗经费等支出，完成年初预算的77.3%，决算数与年初预算数存在差异的主要原因是资金紧张，压缩资金支出，根据实际业务发生额支出费用，实际支付金额小于年初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一般公共服务支出（类）纪检监察事务（款）其他纪检监察事务支出（项）39.81万元,主要是办案业务及案件执行业务经费等支出，完成年初预算的100%，决算数与年初预算数存在差异的主要原因是完全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2.教育支出2.68万元，具体包括：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类）进修及培训（款）培训支出（项）2.68万元,主要是干部进修培训等支出，完成年初预算的26.8%，决算数与年初预算数存在差异的主要原因是资金紧张，压缩资金支出，根据实际业务发生额支出费用，实际支付金额小于年初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3.社会保障和就业支出183.34万元，具体包括：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行政单位离退休（项）4.87万元,主要是退休人员归口工资等支出，完成年初预算的79.45%，决算数与年初预算数存在差异的主要原因是根据实际业务发生额支出费用，实际支付金额小于年初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150.21万元,主要是主要用于单位在职人员养老保险等支出，完成年初预算的97.53%，决算数与年初预算数存在差异的主要原因是根据实际业务发生额支出费用，实际支付金额小于年初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职业年金缴费支出（项）28.26万元,主要是退休人员职业年金补记等支出，完成年初预算的100%，决算数与年初预算数存在差异的主要原因是按照实际情况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4.卫生健康支出58.39万元，具体包括：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行政单位医疗（项）58.39万元,主要是在职工作人员医疗保险等支出，完成年初预算的92.7%，决算数与年初预算数存在差异的主要原因是根据实际业务发生额支出费用，实际支付金额小于年初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5.住房保障支出165.50万元，具体包括：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165.50万元,主要是在职人员住房公积金缴纳等支出，完成年初预算的77.99%，决算数与年初预算数存在差异的主要原因是未发放2024年度公积金高比例部分。</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本年度无此预算及未发生此类业务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本年度无此预算及未发生此类业务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本年度无此预算及未发生此类业务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本年度无此预算及未发生此类业务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比上年减少0.96万元，降低100.00%</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本年度无此预算及未发生此类业务</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本年度无此预算及未发生此类业务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本年度无此预算及未发生此类业务</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1633.25</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1473.84</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159.41</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159.41</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比上年增加19.03万元，增长13.56%</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人员增加及办案数量增加</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11</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11</w:t>
      </w:r>
      <w:r>
        <w:rPr>
          <w:rFonts w:ascii="仿宋_GB2312" w:eastAsia="仿宋_GB2312" w:hAnsi="黑体" w:hint="eastAsia"/>
          <w:sz w:val="32"/>
          <w:szCs w:val="32"/>
        </w:rPr>
        <w:t xml:space="preserve">辆</w:t>
      </w:r>
      <w:r>
        <w:rPr>
          <w:rFonts w:ascii="仿宋_GB2312" w:eastAsia="仿宋_GB2312" w:cs="仿宋_GB2312" w:hint="eastAsia"/>
          <w:sz w:val="32"/>
          <w:szCs w:val="32"/>
        </w:rPr>
        <w:t xml:space="preserve">，其他用车主要是1辆别克商务，1辆福特，9辆报废</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具体而言，本年度我部门共组织对9个项目实施了绩效评价。从预算资金来源看，涉及一般公共预算的项目9个，涉及政府性基金预算的项目0个，涉及国有资本经营预算的项目0个。</w:t>
        <w:br/>
        <w:t xml:space="preserve">    上述评价工作共涉及财政资金667.50万元。其中，一般公共预算资金667.50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3个；得分在80分（含）至90分、等级为“良”的项目有2个；得分在60分（含）至80分、等级为“中”的项目有1个；得分在60分以下、等级为“差”的项目有3个。各项目自评发现，部分项目存在一些问题，如：预算执行进度偏慢、个别效益指标未能完全达成等，已要求相关项目单位分析原因并制定改进措施。</w:t>
        <w:br/>
        <w:t xml:space="preserve">    3.部门重点评价情况及结果。</w:t>
        <w:br/>
        <w:t xml:space="preserve">    在全面自评的基础上，本部门选取了2个资金量大、社会关注度高、具有代表性的重点项目实施了部门重点评价。评价工作通过数据采集方式进行，确保了评价结果的客观性和公正性。</w:t>
        <w:br/>
        <w:t xml:space="preserve">    我部门组织对2个项目重点评价，结果显示，被评价项目整体绩效情况良好。其中：第一个重点项目为纪检监察巡察办案业务费，涉及资金190.57万元，评价平均分为99.53分，评级情况为优；第二个重点项目为纪检监察巡察专项业务经费，涉及资金362.64万元，评价平均分为89分，评级情况为良。同时，评价也发现2个项目存在问题，如：绩效指标设置不够细化、资金使用效益有待进一步提升等。针对评价发现的问题，我们已督促项目单位落实整改，并将评价结果作为下年度预算安排和政策调整的重要依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br/>
        <w:t xml:space="preserve">    17.一般公共服务支出（类）纪检监察事务（款）行政运行（项）：反映行政单位（包括实行公务员管理的事业单位）的基本支出。</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单位：中共辽宁省沈阳市浑南区纪律检查委员会（本级）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2,300.75</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1,890.84</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jc w:val="right"/>
            </w:pPr>
            <w:r>
              <w:rPr>
                <w:rFonts w:ascii="宋体" w:eastAsia="宋体" w:hAnsi="宋体" w:cs="宋体"/>
                <w:b w:val="0"/>
                <w:i w:val="0"/>
                <w:color w:val="000000"/>
                <w:sz w:val="16"/>
              </w:rPr>
              <w:t xml:space="preserve">2.68</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183.34</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58.39</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165.50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2,300.75</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2,300.75</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2,300.75</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2,300.75</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单位：中共辽宁省沈阳市浑南区纪律检查委员会（本级）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2,300.75</w:t>
            </w:r>
          </w:p>
        </w:tc>
        <w:tc>
          <w:tcPr>
            <w:tcW w:w="960" w:type="dxa"/>
            <w:tcBorders/>
            <w:vAlign w:val="center"/>
          </w:tcPr>
          <w:p>
            <w:pPr>
              <w:jc w:val="right"/>
            </w:pPr>
            <w:r>
              <w:rPr>
                <w:rFonts w:ascii="宋体" w:eastAsia="宋体" w:hAnsi="宋体" w:cs="宋体"/>
                <w:b/>
                <w:i w:val="0"/>
                <w:color w:val="000000"/>
                <w:sz w:val="13"/>
              </w:rPr>
              <w:t xml:space="preserve">2,300.75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1,890.83</w:t>
            </w:r>
          </w:p>
        </w:tc>
        <w:tc>
          <w:tcPr>
            <w:tcW w:w="960" w:type="dxa"/>
            <w:tcBorders/>
            <w:vAlign w:val="center"/>
          </w:tcPr>
          <w:p>
            <w:pPr>
              <w:jc w:val="right"/>
            </w:pPr>
            <w:r>
              <w:rPr>
                <w:rFonts w:ascii="宋体" w:eastAsia="宋体" w:hAnsi="宋体" w:cs="宋体"/>
                <w:b w:val="0"/>
                <w:i w:val="0"/>
                <w:color w:val="000000"/>
                <w:sz w:val="13"/>
              </w:rPr>
              <w:t xml:space="preserve">1,890.83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20111</w:t>
            </w:r>
          </w:p>
        </w:tc>
        <w:tc>
          <w:tcPr>
            <w:tcW w:w="3200" w:type="dxa"/>
            <w:tcBorders/>
            <w:vAlign w:val="center"/>
          </w:tcPr>
          <w:p>
            <w:pPr>
              <w:jc w:val="left"/>
            </w:pPr>
            <w:r>
              <w:rPr>
                <w:rFonts w:ascii="宋体" w:eastAsia="宋体" w:hAnsi="宋体" w:cs="宋体"/>
                <w:b w:val="0"/>
                <w:i w:val="0"/>
                <w:color w:val="000000"/>
                <w:sz w:val="13"/>
              </w:rPr>
              <w:t xml:space="preserve">纪检监察事务</w:t>
            </w:r>
          </w:p>
        </w:tc>
        <w:tc>
          <w:tcPr>
            <w:tcW w:w="960" w:type="dxa"/>
            <w:tcBorders/>
            <w:vAlign w:val="center"/>
          </w:tcPr>
          <w:p>
            <w:pPr>
              <w:jc w:val="right"/>
            </w:pPr>
            <w:r>
              <w:rPr>
                <w:rFonts w:ascii="宋体" w:eastAsia="宋体" w:hAnsi="宋体" w:cs="宋体"/>
                <w:b w:val="0"/>
                <w:i w:val="0"/>
                <w:color w:val="000000"/>
                <w:sz w:val="13"/>
              </w:rPr>
              <w:t xml:space="preserve">1,890.83</w:t>
            </w:r>
          </w:p>
        </w:tc>
        <w:tc>
          <w:tcPr>
            <w:tcW w:w="960" w:type="dxa"/>
            <w:tcBorders/>
            <w:vAlign w:val="center"/>
          </w:tcPr>
          <w:p>
            <w:pPr>
              <w:jc w:val="right"/>
            </w:pPr>
            <w:r>
              <w:rPr>
                <w:rFonts w:ascii="宋体" w:eastAsia="宋体" w:hAnsi="宋体" w:cs="宋体"/>
                <w:b w:val="0"/>
                <w:i w:val="0"/>
                <w:color w:val="000000"/>
                <w:sz w:val="13"/>
              </w:rPr>
              <w:t xml:space="preserve">1,890.83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2011101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1,226.02</w:t>
            </w:r>
          </w:p>
        </w:tc>
        <w:tc>
          <w:tcPr>
            <w:tcW w:w="960" w:type="dxa"/>
            <w:tcBorders/>
            <w:vAlign w:val="center"/>
          </w:tcPr>
          <w:p>
            <w:pPr>
              <w:jc w:val="right"/>
            </w:pPr>
            <w:r>
              <w:rPr>
                <w:rFonts w:ascii="宋体" w:eastAsia="宋体" w:hAnsi="宋体" w:cs="宋体"/>
                <w:b w:val="0"/>
                <w:i w:val="0"/>
                <w:color w:val="000000"/>
                <w:sz w:val="13"/>
              </w:rPr>
              <w:t xml:space="preserve">1,226.02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2011102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625.00</w:t>
            </w:r>
          </w:p>
        </w:tc>
        <w:tc>
          <w:tcPr>
            <w:tcW w:w="960" w:type="dxa"/>
            <w:tcBorders/>
            <w:vAlign w:val="center"/>
          </w:tcPr>
          <w:p>
            <w:pPr>
              <w:jc w:val="right"/>
            </w:pPr>
            <w:r>
              <w:rPr>
                <w:rFonts w:ascii="宋体" w:eastAsia="宋体" w:hAnsi="宋体" w:cs="宋体"/>
                <w:b w:val="0"/>
                <w:i w:val="0"/>
                <w:color w:val="000000"/>
                <w:sz w:val="13"/>
              </w:rPr>
              <w:t xml:space="preserve">625.00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2011199</w:t>
            </w:r>
          </w:p>
        </w:tc>
        <w:tc>
          <w:tcPr>
            <w:tcW w:w="3200" w:type="dxa"/>
            <w:tcBorders/>
            <w:vAlign w:val="center"/>
          </w:tcPr>
          <w:p>
            <w:pPr>
              <w:jc w:val="left"/>
            </w:pPr>
            <w:r>
              <w:rPr>
                <w:rFonts w:ascii="宋体" w:eastAsia="宋体" w:hAnsi="宋体" w:cs="宋体"/>
                <w:b w:val="0"/>
                <w:i w:val="0"/>
                <w:color w:val="000000"/>
                <w:sz w:val="13"/>
              </w:rPr>
              <w:t xml:space="preserve">其他纪检监察事务支出</w:t>
            </w:r>
          </w:p>
        </w:tc>
        <w:tc>
          <w:tcPr>
            <w:tcW w:w="960" w:type="dxa"/>
            <w:tcBorders/>
            <w:vAlign w:val="center"/>
          </w:tcPr>
          <w:p>
            <w:pPr>
              <w:jc w:val="right"/>
            </w:pPr>
            <w:r>
              <w:rPr>
                <w:rFonts w:ascii="宋体" w:eastAsia="宋体" w:hAnsi="宋体" w:cs="宋体"/>
                <w:b w:val="0"/>
                <w:i w:val="0"/>
                <w:color w:val="000000"/>
                <w:sz w:val="13"/>
              </w:rPr>
              <w:t xml:space="preserve">39.81</w:t>
            </w:r>
          </w:p>
        </w:tc>
        <w:tc>
          <w:tcPr>
            <w:tcW w:w="960" w:type="dxa"/>
            <w:tcBorders/>
            <w:vAlign w:val="center"/>
          </w:tcPr>
          <w:p>
            <w:pPr>
              <w:jc w:val="right"/>
            </w:pPr>
            <w:r>
              <w:rPr>
                <w:rFonts w:ascii="宋体" w:eastAsia="宋体" w:hAnsi="宋体" w:cs="宋体"/>
                <w:b w:val="0"/>
                <w:i w:val="0"/>
                <w:color w:val="000000"/>
                <w:sz w:val="13"/>
              </w:rPr>
              <w:t xml:space="preserve">39.81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w:t>
            </w:r>
          </w:p>
        </w:tc>
        <w:tc>
          <w:tcPr>
            <w:tcW w:w="3200" w:type="dxa"/>
            <w:tcBorders/>
            <w:vAlign w:val="center"/>
          </w:tcPr>
          <w:p>
            <w:pPr>
              <w:jc w:val="left"/>
            </w:pPr>
            <w:r>
              <w:rPr>
                <w:rFonts w:ascii="宋体" w:eastAsia="宋体" w:hAnsi="宋体" w:cs="宋体"/>
                <w:b w:val="0"/>
                <w:i w:val="0"/>
                <w:color w:val="000000"/>
                <w:sz w:val="13"/>
              </w:rPr>
              <w:t xml:space="preserve">教育支出</w:t>
            </w:r>
          </w:p>
        </w:tc>
        <w:tc>
          <w:tcPr>
            <w:tcW w:w="960" w:type="dxa"/>
            <w:tcBorders/>
            <w:vAlign w:val="center"/>
          </w:tcPr>
          <w:p>
            <w:pPr>
              <w:jc w:val="right"/>
            </w:pPr>
            <w:r>
              <w:rPr>
                <w:rFonts w:ascii="宋体" w:eastAsia="宋体" w:hAnsi="宋体" w:cs="宋体"/>
                <w:b w:val="0"/>
                <w:i w:val="0"/>
                <w:color w:val="000000"/>
                <w:sz w:val="13"/>
              </w:rPr>
              <w:t xml:space="preserve">2.68</w:t>
            </w:r>
          </w:p>
        </w:tc>
        <w:tc>
          <w:tcPr>
            <w:tcW w:w="960" w:type="dxa"/>
            <w:tcBorders/>
            <w:vAlign w:val="center"/>
          </w:tcPr>
          <w:p>
            <w:pPr>
              <w:jc w:val="right"/>
            </w:pPr>
            <w:r>
              <w:rPr>
                <w:rFonts w:ascii="宋体" w:eastAsia="宋体" w:hAnsi="宋体" w:cs="宋体"/>
                <w:b w:val="0"/>
                <w:i w:val="0"/>
                <w:color w:val="000000"/>
                <w:sz w:val="13"/>
              </w:rPr>
              <w:t xml:space="preserve">2.68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20508</w:t>
            </w:r>
          </w:p>
        </w:tc>
        <w:tc>
          <w:tcPr>
            <w:tcW w:w="3200" w:type="dxa"/>
            <w:tcBorders/>
            <w:vAlign w:val="center"/>
          </w:tcPr>
          <w:p>
            <w:pPr>
              <w:jc w:val="left"/>
            </w:pPr>
            <w:r>
              <w:rPr>
                <w:rFonts w:ascii="宋体" w:eastAsia="宋体" w:hAnsi="宋体" w:cs="宋体"/>
                <w:b w:val="0"/>
                <w:i w:val="0"/>
                <w:color w:val="000000"/>
                <w:sz w:val="13"/>
              </w:rPr>
              <w:t xml:space="preserve">进修及培训</w:t>
            </w:r>
          </w:p>
        </w:tc>
        <w:tc>
          <w:tcPr>
            <w:tcW w:w="960" w:type="dxa"/>
            <w:tcBorders/>
            <w:vAlign w:val="center"/>
          </w:tcPr>
          <w:p>
            <w:pPr>
              <w:jc w:val="right"/>
            </w:pPr>
            <w:r>
              <w:rPr>
                <w:rFonts w:ascii="宋体" w:eastAsia="宋体" w:hAnsi="宋体" w:cs="宋体"/>
                <w:b w:val="0"/>
                <w:i w:val="0"/>
                <w:color w:val="000000"/>
                <w:sz w:val="13"/>
              </w:rPr>
              <w:t xml:space="preserve">2.68</w:t>
            </w:r>
          </w:p>
        </w:tc>
        <w:tc>
          <w:tcPr>
            <w:tcW w:w="960" w:type="dxa"/>
            <w:tcBorders/>
            <w:vAlign w:val="center"/>
          </w:tcPr>
          <w:p>
            <w:pPr>
              <w:jc w:val="right"/>
            </w:pPr>
            <w:r>
              <w:rPr>
                <w:rFonts w:ascii="宋体" w:eastAsia="宋体" w:hAnsi="宋体" w:cs="宋体"/>
                <w:b w:val="0"/>
                <w:i w:val="0"/>
                <w:color w:val="000000"/>
                <w:sz w:val="13"/>
              </w:rPr>
              <w:t xml:space="preserve">2.68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2050803</w:t>
            </w:r>
          </w:p>
        </w:tc>
        <w:tc>
          <w:tcPr>
            <w:tcW w:w="3200" w:type="dxa"/>
            <w:tcBorders/>
            <w:vAlign w:val="center"/>
          </w:tcPr>
          <w:p>
            <w:pPr>
              <w:jc w:val="left"/>
            </w:pPr>
            <w:r>
              <w:rPr>
                <w:rFonts w:ascii="宋体" w:eastAsia="宋体" w:hAnsi="宋体" w:cs="宋体"/>
                <w:b w:val="0"/>
                <w:i w:val="0"/>
                <w:color w:val="000000"/>
                <w:sz w:val="13"/>
              </w:rPr>
              <w:t xml:space="preserve">培训支出</w:t>
            </w:r>
          </w:p>
        </w:tc>
        <w:tc>
          <w:tcPr>
            <w:tcW w:w="960" w:type="dxa"/>
            <w:tcBorders/>
            <w:vAlign w:val="center"/>
          </w:tcPr>
          <w:p>
            <w:pPr>
              <w:jc w:val="right"/>
            </w:pPr>
            <w:r>
              <w:rPr>
                <w:rFonts w:ascii="宋体" w:eastAsia="宋体" w:hAnsi="宋体" w:cs="宋体"/>
                <w:b w:val="0"/>
                <w:i w:val="0"/>
                <w:color w:val="000000"/>
                <w:sz w:val="13"/>
              </w:rPr>
              <w:t xml:space="preserve">2.68</w:t>
            </w:r>
          </w:p>
        </w:tc>
        <w:tc>
          <w:tcPr>
            <w:tcW w:w="960" w:type="dxa"/>
            <w:tcBorders/>
            <w:vAlign w:val="center"/>
          </w:tcPr>
          <w:p>
            <w:pPr>
              <w:jc w:val="right"/>
            </w:pPr>
            <w:r>
              <w:rPr>
                <w:rFonts w:ascii="宋体" w:eastAsia="宋体" w:hAnsi="宋体" w:cs="宋体"/>
                <w:b w:val="0"/>
                <w:i w:val="0"/>
                <w:color w:val="000000"/>
                <w:sz w:val="13"/>
              </w:rPr>
              <w:t xml:space="preserve">2.68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183.34</w:t>
            </w:r>
          </w:p>
        </w:tc>
        <w:tc>
          <w:tcPr>
            <w:tcW w:w="960" w:type="dxa"/>
            <w:tcBorders/>
            <w:vAlign w:val="center"/>
          </w:tcPr>
          <w:p>
            <w:pPr>
              <w:jc w:val="right"/>
            </w:pPr>
            <w:r>
              <w:rPr>
                <w:rFonts w:ascii="宋体" w:eastAsia="宋体" w:hAnsi="宋体" w:cs="宋体"/>
                <w:b w:val="0"/>
                <w:i w:val="0"/>
                <w:color w:val="000000"/>
                <w:sz w:val="13"/>
              </w:rPr>
              <w:t xml:space="preserve">183.34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183.34</w:t>
            </w:r>
          </w:p>
        </w:tc>
        <w:tc>
          <w:tcPr>
            <w:tcW w:w="960" w:type="dxa"/>
            <w:tcBorders/>
            <w:vAlign w:val="center"/>
          </w:tcPr>
          <w:p>
            <w:pPr>
              <w:jc w:val="right"/>
            </w:pPr>
            <w:r>
              <w:rPr>
                <w:rFonts w:ascii="宋体" w:eastAsia="宋体" w:hAnsi="宋体" w:cs="宋体"/>
                <w:b w:val="0"/>
                <w:i w:val="0"/>
                <w:color w:val="000000"/>
                <w:sz w:val="13"/>
              </w:rPr>
              <w:t xml:space="preserve">183.34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4.87</w:t>
            </w:r>
          </w:p>
        </w:tc>
        <w:tc>
          <w:tcPr>
            <w:tcW w:w="960" w:type="dxa"/>
            <w:tcBorders/>
            <w:vAlign w:val="center"/>
          </w:tcPr>
          <w:p>
            <w:pPr>
              <w:jc w:val="right"/>
            </w:pPr>
            <w:r>
              <w:rPr>
                <w:rFonts w:ascii="宋体" w:eastAsia="宋体" w:hAnsi="宋体" w:cs="宋体"/>
                <w:b w:val="0"/>
                <w:i w:val="0"/>
                <w:color w:val="000000"/>
                <w:sz w:val="13"/>
              </w:rPr>
              <w:t xml:space="preserve">4.87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150.21</w:t>
            </w:r>
          </w:p>
        </w:tc>
        <w:tc>
          <w:tcPr>
            <w:tcW w:w="960" w:type="dxa"/>
            <w:tcBorders/>
            <w:vAlign w:val="center"/>
          </w:tcPr>
          <w:p>
            <w:pPr>
              <w:jc w:val="right"/>
            </w:pPr>
            <w:r>
              <w:rPr>
                <w:rFonts w:ascii="宋体" w:eastAsia="宋体" w:hAnsi="宋体" w:cs="宋体"/>
                <w:b w:val="0"/>
                <w:i w:val="0"/>
                <w:color w:val="000000"/>
                <w:sz w:val="13"/>
              </w:rPr>
              <w:t xml:space="preserve">150.21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28.26</w:t>
            </w:r>
          </w:p>
        </w:tc>
        <w:tc>
          <w:tcPr>
            <w:tcW w:w="960" w:type="dxa"/>
            <w:tcBorders/>
            <w:vAlign w:val="center"/>
          </w:tcPr>
          <w:p>
            <w:pPr>
              <w:jc w:val="right"/>
            </w:pPr>
            <w:r>
              <w:rPr>
                <w:rFonts w:ascii="宋体" w:eastAsia="宋体" w:hAnsi="宋体" w:cs="宋体"/>
                <w:b w:val="0"/>
                <w:i w:val="0"/>
                <w:color w:val="000000"/>
                <w:sz w:val="13"/>
              </w:rPr>
              <w:t xml:space="preserve">28.26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58.39</w:t>
            </w:r>
          </w:p>
        </w:tc>
        <w:tc>
          <w:tcPr>
            <w:tcW w:w="960" w:type="dxa"/>
            <w:tcBorders/>
            <w:vAlign w:val="center"/>
          </w:tcPr>
          <w:p>
            <w:pPr>
              <w:jc w:val="right"/>
            </w:pPr>
            <w:r>
              <w:rPr>
                <w:rFonts w:ascii="宋体" w:eastAsia="宋体" w:hAnsi="宋体" w:cs="宋体"/>
                <w:b w:val="0"/>
                <w:i w:val="0"/>
                <w:color w:val="000000"/>
                <w:sz w:val="13"/>
              </w:rPr>
              <w:t xml:space="preserve">58.39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58.39</w:t>
            </w:r>
          </w:p>
        </w:tc>
        <w:tc>
          <w:tcPr>
            <w:tcW w:w="960" w:type="dxa"/>
            <w:tcBorders/>
            <w:vAlign w:val="center"/>
          </w:tcPr>
          <w:p>
            <w:pPr>
              <w:jc w:val="right"/>
            </w:pPr>
            <w:r>
              <w:rPr>
                <w:rFonts w:ascii="宋体" w:eastAsia="宋体" w:hAnsi="宋体" w:cs="宋体"/>
                <w:b w:val="0"/>
                <w:i w:val="0"/>
                <w:color w:val="000000"/>
                <w:sz w:val="13"/>
              </w:rPr>
              <w:t xml:space="preserve">58.39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58.39</w:t>
            </w:r>
          </w:p>
        </w:tc>
        <w:tc>
          <w:tcPr>
            <w:tcW w:w="960" w:type="dxa"/>
            <w:tcBorders/>
            <w:vAlign w:val="center"/>
          </w:tcPr>
          <w:p>
            <w:pPr>
              <w:jc w:val="right"/>
            </w:pPr>
            <w:r>
              <w:rPr>
                <w:rFonts w:ascii="宋体" w:eastAsia="宋体" w:hAnsi="宋体" w:cs="宋体"/>
                <w:b w:val="0"/>
                <w:i w:val="0"/>
                <w:color w:val="000000"/>
                <w:sz w:val="13"/>
              </w:rPr>
              <w:t xml:space="preserve">58.39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165.50</w:t>
            </w:r>
          </w:p>
        </w:tc>
        <w:tc>
          <w:tcPr>
            <w:tcW w:w="960" w:type="dxa"/>
            <w:tcBorders/>
            <w:vAlign w:val="center"/>
          </w:tcPr>
          <w:p>
            <w:pPr>
              <w:jc w:val="right"/>
            </w:pPr>
            <w:r>
              <w:rPr>
                <w:rFonts w:ascii="宋体" w:eastAsia="宋体" w:hAnsi="宋体" w:cs="宋体"/>
                <w:b w:val="0"/>
                <w:i w:val="0"/>
                <w:color w:val="000000"/>
                <w:sz w:val="13"/>
              </w:rPr>
              <w:t xml:space="preserve">165.50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165.50</w:t>
            </w:r>
          </w:p>
        </w:tc>
        <w:tc>
          <w:tcPr>
            <w:tcW w:w="960" w:type="dxa"/>
            <w:tcBorders/>
            <w:vAlign w:val="center"/>
          </w:tcPr>
          <w:p>
            <w:pPr>
              <w:jc w:val="right"/>
            </w:pPr>
            <w:r>
              <w:rPr>
                <w:rFonts w:ascii="宋体" w:eastAsia="宋体" w:hAnsi="宋体" w:cs="宋体"/>
                <w:b w:val="0"/>
                <w:i w:val="0"/>
                <w:color w:val="000000"/>
                <w:sz w:val="13"/>
              </w:rPr>
              <w:t xml:space="preserve">165.50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165.50</w:t>
            </w:r>
          </w:p>
        </w:tc>
        <w:tc>
          <w:tcPr>
            <w:tcW w:w="960" w:type="dxa"/>
            <w:tcBorders/>
            <w:vAlign w:val="center"/>
          </w:tcPr>
          <w:p>
            <w:pPr>
              <w:jc w:val="right"/>
            </w:pPr>
            <w:r>
              <w:rPr>
                <w:rFonts w:ascii="宋体" w:eastAsia="宋体" w:hAnsi="宋体" w:cs="宋体"/>
                <w:b w:val="0"/>
                <w:i w:val="0"/>
                <w:color w:val="000000"/>
                <w:sz w:val="13"/>
              </w:rPr>
              <w:t xml:space="preserve">165.50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单位：中共辽宁省沈阳市浑南区纪律检查委员会（本级）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2,300.75</w:t>
            </w:r>
          </w:p>
        </w:tc>
        <w:tc>
          <w:tcPr>
            <w:tcW w:w="1060" w:type="dxa"/>
            <w:tcBorders/>
            <w:vAlign w:val="center"/>
          </w:tcPr>
          <w:p>
            <w:pPr>
              <w:jc w:val="right"/>
            </w:pPr>
            <w:r>
              <w:rPr>
                <w:rFonts w:ascii="宋体" w:eastAsia="宋体" w:hAnsi="宋体" w:cs="宋体"/>
                <w:b/>
                <w:i w:val="0"/>
                <w:color w:val="000000"/>
                <w:sz w:val="14"/>
              </w:rPr>
              <w:t xml:space="preserve">1,633.25</w:t>
            </w:r>
          </w:p>
        </w:tc>
        <w:tc>
          <w:tcPr>
            <w:tcW w:w="1060" w:type="dxa"/>
            <w:tcBorders/>
            <w:vAlign w:val="center"/>
          </w:tcPr>
          <w:p>
            <w:pPr>
              <w:jc w:val="right"/>
            </w:pPr>
            <w:r>
              <w:rPr>
                <w:rFonts w:ascii="宋体" w:eastAsia="宋体" w:hAnsi="宋体" w:cs="宋体"/>
                <w:b/>
                <w:i w:val="0"/>
                <w:color w:val="000000"/>
                <w:sz w:val="14"/>
              </w:rPr>
              <w:t xml:space="preserve">667.50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1,890.83</w:t>
            </w:r>
          </w:p>
        </w:tc>
        <w:tc>
          <w:tcPr>
            <w:tcW w:w="1060" w:type="dxa"/>
            <w:tcBorders/>
            <w:vAlign w:val="center"/>
          </w:tcPr>
          <w:p>
            <w:pPr>
              <w:jc w:val="right"/>
            </w:pPr>
            <w:r>
              <w:rPr>
                <w:rFonts w:ascii="宋体" w:eastAsia="宋体" w:hAnsi="宋体" w:cs="宋体"/>
                <w:b w:val="0"/>
                <w:i w:val="0"/>
                <w:color w:val="000000"/>
                <w:sz w:val="14"/>
              </w:rPr>
              <w:t xml:space="preserve">1,226.02</w:t>
            </w:r>
          </w:p>
        </w:tc>
        <w:tc>
          <w:tcPr>
            <w:tcW w:w="1060" w:type="dxa"/>
            <w:tcBorders/>
            <w:vAlign w:val="center"/>
          </w:tcPr>
          <w:p>
            <w:pPr>
              <w:jc w:val="right"/>
            </w:pPr>
            <w:r>
              <w:rPr>
                <w:rFonts w:ascii="宋体" w:eastAsia="宋体" w:hAnsi="宋体" w:cs="宋体"/>
                <w:b w:val="0"/>
                <w:i w:val="0"/>
                <w:color w:val="000000"/>
                <w:sz w:val="14"/>
              </w:rPr>
              <w:t xml:space="preserve">664.81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20111</w:t>
            </w:r>
          </w:p>
        </w:tc>
        <w:tc>
          <w:tcPr>
            <w:tcW w:w="3440" w:type="dxa"/>
            <w:tcBorders/>
            <w:vAlign w:val="center"/>
          </w:tcPr>
          <w:p>
            <w:pPr>
              <w:jc w:val="left"/>
            </w:pPr>
            <w:r>
              <w:rPr>
                <w:rFonts w:ascii="宋体" w:eastAsia="宋体" w:hAnsi="宋体" w:cs="宋体"/>
                <w:b w:val="0"/>
                <w:i w:val="0"/>
                <w:color w:val="000000"/>
                <w:sz w:val="14"/>
              </w:rPr>
              <w:t xml:space="preserve">纪检监察事务</w:t>
            </w:r>
          </w:p>
        </w:tc>
        <w:tc>
          <w:tcPr>
            <w:tcW w:w="1060" w:type="dxa"/>
            <w:tcBorders/>
            <w:vAlign w:val="center"/>
          </w:tcPr>
          <w:p>
            <w:pPr>
              <w:jc w:val="right"/>
            </w:pPr>
            <w:r>
              <w:rPr>
                <w:rFonts w:ascii="宋体" w:eastAsia="宋体" w:hAnsi="宋体" w:cs="宋体"/>
                <w:b w:val="0"/>
                <w:i w:val="0"/>
                <w:color w:val="000000"/>
                <w:sz w:val="14"/>
              </w:rPr>
              <w:t xml:space="preserve">1,890.83</w:t>
            </w:r>
          </w:p>
        </w:tc>
        <w:tc>
          <w:tcPr>
            <w:tcW w:w="1060" w:type="dxa"/>
            <w:tcBorders/>
            <w:vAlign w:val="center"/>
          </w:tcPr>
          <w:p>
            <w:pPr>
              <w:jc w:val="right"/>
            </w:pPr>
            <w:r>
              <w:rPr>
                <w:rFonts w:ascii="宋体" w:eastAsia="宋体" w:hAnsi="宋体" w:cs="宋体"/>
                <w:b w:val="0"/>
                <w:i w:val="0"/>
                <w:color w:val="000000"/>
                <w:sz w:val="14"/>
              </w:rPr>
              <w:t xml:space="preserve">1,226.02</w:t>
            </w:r>
          </w:p>
        </w:tc>
        <w:tc>
          <w:tcPr>
            <w:tcW w:w="1060" w:type="dxa"/>
            <w:tcBorders/>
            <w:vAlign w:val="center"/>
          </w:tcPr>
          <w:p>
            <w:pPr>
              <w:jc w:val="right"/>
            </w:pPr>
            <w:r>
              <w:rPr>
                <w:rFonts w:ascii="宋体" w:eastAsia="宋体" w:hAnsi="宋体" w:cs="宋体"/>
                <w:b w:val="0"/>
                <w:i w:val="0"/>
                <w:color w:val="000000"/>
                <w:sz w:val="14"/>
              </w:rPr>
              <w:t xml:space="preserve">664.81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2011101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1,226.02</w:t>
            </w:r>
          </w:p>
        </w:tc>
        <w:tc>
          <w:tcPr>
            <w:tcW w:w="1060" w:type="dxa"/>
            <w:tcBorders/>
            <w:vAlign w:val="center"/>
          </w:tcPr>
          <w:p>
            <w:pPr>
              <w:jc w:val="right"/>
            </w:pPr>
            <w:r>
              <w:rPr>
                <w:rFonts w:ascii="宋体" w:eastAsia="宋体" w:hAnsi="宋体" w:cs="宋体"/>
                <w:b w:val="0"/>
                <w:i w:val="0"/>
                <w:color w:val="000000"/>
                <w:sz w:val="14"/>
              </w:rPr>
              <w:t xml:space="preserve">1,226.02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2011102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625.00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625.00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2011199</w:t>
            </w:r>
          </w:p>
        </w:tc>
        <w:tc>
          <w:tcPr>
            <w:tcW w:w="3440" w:type="dxa"/>
            <w:tcBorders/>
            <w:vAlign w:val="center"/>
          </w:tcPr>
          <w:p>
            <w:pPr>
              <w:jc w:val="left"/>
            </w:pPr>
            <w:r>
              <w:rPr>
                <w:rFonts w:ascii="宋体" w:eastAsia="宋体" w:hAnsi="宋体" w:cs="宋体"/>
                <w:b w:val="0"/>
                <w:i w:val="0"/>
                <w:color w:val="000000"/>
                <w:sz w:val="14"/>
              </w:rPr>
              <w:t xml:space="preserve">其他纪检监察事务支出</w:t>
            </w:r>
          </w:p>
        </w:tc>
        <w:tc>
          <w:tcPr>
            <w:tcW w:w="1060" w:type="dxa"/>
            <w:tcBorders/>
            <w:vAlign w:val="center"/>
          </w:tcPr>
          <w:p>
            <w:pPr>
              <w:jc w:val="right"/>
            </w:pPr>
            <w:r>
              <w:rPr>
                <w:rFonts w:ascii="宋体" w:eastAsia="宋体" w:hAnsi="宋体" w:cs="宋体"/>
                <w:b w:val="0"/>
                <w:i w:val="0"/>
                <w:color w:val="000000"/>
                <w:sz w:val="14"/>
              </w:rPr>
              <w:t xml:space="preserve">39.81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39.81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w:t>
            </w:r>
          </w:p>
        </w:tc>
        <w:tc>
          <w:tcPr>
            <w:tcW w:w="3440" w:type="dxa"/>
            <w:tcBorders/>
            <w:vAlign w:val="center"/>
          </w:tcPr>
          <w:p>
            <w:pPr>
              <w:jc w:val="left"/>
            </w:pPr>
            <w:r>
              <w:rPr>
                <w:rFonts w:ascii="宋体" w:eastAsia="宋体" w:hAnsi="宋体" w:cs="宋体"/>
                <w:b w:val="0"/>
                <w:i w:val="0"/>
                <w:color w:val="000000"/>
                <w:sz w:val="14"/>
              </w:rPr>
              <w:t xml:space="preserve">教育支出</w:t>
            </w:r>
          </w:p>
        </w:tc>
        <w:tc>
          <w:tcPr>
            <w:tcW w:w="1060" w:type="dxa"/>
            <w:tcBorders/>
            <w:vAlign w:val="center"/>
          </w:tcPr>
          <w:p>
            <w:pPr>
              <w:jc w:val="right"/>
            </w:pPr>
            <w:r>
              <w:rPr>
                <w:rFonts w:ascii="宋体" w:eastAsia="宋体" w:hAnsi="宋体" w:cs="宋体"/>
                <w:b w:val="0"/>
                <w:i w:val="0"/>
                <w:color w:val="000000"/>
                <w:sz w:val="14"/>
              </w:rPr>
              <w:t xml:space="preserve">2.68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2.68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20508</w:t>
            </w:r>
          </w:p>
        </w:tc>
        <w:tc>
          <w:tcPr>
            <w:tcW w:w="3440" w:type="dxa"/>
            <w:tcBorders/>
            <w:vAlign w:val="center"/>
          </w:tcPr>
          <w:p>
            <w:pPr>
              <w:jc w:val="left"/>
            </w:pPr>
            <w:r>
              <w:rPr>
                <w:rFonts w:ascii="宋体" w:eastAsia="宋体" w:hAnsi="宋体" w:cs="宋体"/>
                <w:b w:val="0"/>
                <w:i w:val="0"/>
                <w:color w:val="000000"/>
                <w:sz w:val="14"/>
              </w:rPr>
              <w:t xml:space="preserve">进修及培训</w:t>
            </w:r>
          </w:p>
        </w:tc>
        <w:tc>
          <w:tcPr>
            <w:tcW w:w="1060" w:type="dxa"/>
            <w:tcBorders/>
            <w:vAlign w:val="center"/>
          </w:tcPr>
          <w:p>
            <w:pPr>
              <w:jc w:val="right"/>
            </w:pPr>
            <w:r>
              <w:rPr>
                <w:rFonts w:ascii="宋体" w:eastAsia="宋体" w:hAnsi="宋体" w:cs="宋体"/>
                <w:b w:val="0"/>
                <w:i w:val="0"/>
                <w:color w:val="000000"/>
                <w:sz w:val="14"/>
              </w:rPr>
              <w:t xml:space="preserve">2.68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2.68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2050803</w:t>
            </w:r>
          </w:p>
        </w:tc>
        <w:tc>
          <w:tcPr>
            <w:tcW w:w="3440" w:type="dxa"/>
            <w:tcBorders/>
            <w:vAlign w:val="center"/>
          </w:tcPr>
          <w:p>
            <w:pPr>
              <w:jc w:val="left"/>
            </w:pPr>
            <w:r>
              <w:rPr>
                <w:rFonts w:ascii="宋体" w:eastAsia="宋体" w:hAnsi="宋体" w:cs="宋体"/>
                <w:b w:val="0"/>
                <w:i w:val="0"/>
                <w:color w:val="000000"/>
                <w:sz w:val="14"/>
              </w:rPr>
              <w:t xml:space="preserve">培训支出</w:t>
            </w:r>
          </w:p>
        </w:tc>
        <w:tc>
          <w:tcPr>
            <w:tcW w:w="1060" w:type="dxa"/>
            <w:tcBorders/>
            <w:vAlign w:val="center"/>
          </w:tcPr>
          <w:p>
            <w:pPr>
              <w:jc w:val="right"/>
            </w:pPr>
            <w:r>
              <w:rPr>
                <w:rFonts w:ascii="宋体" w:eastAsia="宋体" w:hAnsi="宋体" w:cs="宋体"/>
                <w:b w:val="0"/>
                <w:i w:val="0"/>
                <w:color w:val="000000"/>
                <w:sz w:val="14"/>
              </w:rPr>
              <w:t xml:space="preserve">2.68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2.68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183.34</w:t>
            </w:r>
          </w:p>
        </w:tc>
        <w:tc>
          <w:tcPr>
            <w:tcW w:w="1060" w:type="dxa"/>
            <w:tcBorders/>
            <w:vAlign w:val="center"/>
          </w:tcPr>
          <w:p>
            <w:pPr>
              <w:jc w:val="right"/>
            </w:pPr>
            <w:r>
              <w:rPr>
                <w:rFonts w:ascii="宋体" w:eastAsia="宋体" w:hAnsi="宋体" w:cs="宋体"/>
                <w:b w:val="0"/>
                <w:i w:val="0"/>
                <w:color w:val="000000"/>
                <w:sz w:val="14"/>
              </w:rPr>
              <w:t xml:space="preserve">183.34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183.34</w:t>
            </w:r>
          </w:p>
        </w:tc>
        <w:tc>
          <w:tcPr>
            <w:tcW w:w="1060" w:type="dxa"/>
            <w:tcBorders/>
            <w:vAlign w:val="center"/>
          </w:tcPr>
          <w:p>
            <w:pPr>
              <w:jc w:val="right"/>
            </w:pPr>
            <w:r>
              <w:rPr>
                <w:rFonts w:ascii="宋体" w:eastAsia="宋体" w:hAnsi="宋体" w:cs="宋体"/>
                <w:b w:val="0"/>
                <w:i w:val="0"/>
                <w:color w:val="000000"/>
                <w:sz w:val="14"/>
              </w:rPr>
              <w:t xml:space="preserve">183.34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4.87</w:t>
            </w:r>
          </w:p>
        </w:tc>
        <w:tc>
          <w:tcPr>
            <w:tcW w:w="1060" w:type="dxa"/>
            <w:tcBorders/>
            <w:vAlign w:val="center"/>
          </w:tcPr>
          <w:p>
            <w:pPr>
              <w:jc w:val="right"/>
            </w:pPr>
            <w:r>
              <w:rPr>
                <w:rFonts w:ascii="宋体" w:eastAsia="宋体" w:hAnsi="宋体" w:cs="宋体"/>
                <w:b w:val="0"/>
                <w:i w:val="0"/>
                <w:color w:val="000000"/>
                <w:sz w:val="14"/>
              </w:rPr>
              <w:t xml:space="preserve">4.87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150.21</w:t>
            </w:r>
          </w:p>
        </w:tc>
        <w:tc>
          <w:tcPr>
            <w:tcW w:w="1060" w:type="dxa"/>
            <w:tcBorders/>
            <w:vAlign w:val="center"/>
          </w:tcPr>
          <w:p>
            <w:pPr>
              <w:jc w:val="right"/>
            </w:pPr>
            <w:r>
              <w:rPr>
                <w:rFonts w:ascii="宋体" w:eastAsia="宋体" w:hAnsi="宋体" w:cs="宋体"/>
                <w:b w:val="0"/>
                <w:i w:val="0"/>
                <w:color w:val="000000"/>
                <w:sz w:val="14"/>
              </w:rPr>
              <w:t xml:space="preserve">150.21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28.26</w:t>
            </w:r>
          </w:p>
        </w:tc>
        <w:tc>
          <w:tcPr>
            <w:tcW w:w="1060" w:type="dxa"/>
            <w:tcBorders/>
            <w:vAlign w:val="center"/>
          </w:tcPr>
          <w:p>
            <w:pPr>
              <w:jc w:val="right"/>
            </w:pPr>
            <w:r>
              <w:rPr>
                <w:rFonts w:ascii="宋体" w:eastAsia="宋体" w:hAnsi="宋体" w:cs="宋体"/>
                <w:b w:val="0"/>
                <w:i w:val="0"/>
                <w:color w:val="000000"/>
                <w:sz w:val="14"/>
              </w:rPr>
              <w:t xml:space="preserve">28.26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58.39</w:t>
            </w:r>
          </w:p>
        </w:tc>
        <w:tc>
          <w:tcPr>
            <w:tcW w:w="1060" w:type="dxa"/>
            <w:tcBorders/>
            <w:vAlign w:val="center"/>
          </w:tcPr>
          <w:p>
            <w:pPr>
              <w:jc w:val="right"/>
            </w:pPr>
            <w:r>
              <w:rPr>
                <w:rFonts w:ascii="宋体" w:eastAsia="宋体" w:hAnsi="宋体" w:cs="宋体"/>
                <w:b w:val="0"/>
                <w:i w:val="0"/>
                <w:color w:val="000000"/>
                <w:sz w:val="14"/>
              </w:rPr>
              <w:t xml:space="preserve">58.39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58.39</w:t>
            </w:r>
          </w:p>
        </w:tc>
        <w:tc>
          <w:tcPr>
            <w:tcW w:w="1060" w:type="dxa"/>
            <w:tcBorders/>
            <w:vAlign w:val="center"/>
          </w:tcPr>
          <w:p>
            <w:pPr>
              <w:jc w:val="right"/>
            </w:pPr>
            <w:r>
              <w:rPr>
                <w:rFonts w:ascii="宋体" w:eastAsia="宋体" w:hAnsi="宋体" w:cs="宋体"/>
                <w:b w:val="0"/>
                <w:i w:val="0"/>
                <w:color w:val="000000"/>
                <w:sz w:val="14"/>
              </w:rPr>
              <w:t xml:space="preserve">58.39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58.39</w:t>
            </w:r>
          </w:p>
        </w:tc>
        <w:tc>
          <w:tcPr>
            <w:tcW w:w="1060" w:type="dxa"/>
            <w:tcBorders/>
            <w:vAlign w:val="center"/>
          </w:tcPr>
          <w:p>
            <w:pPr>
              <w:jc w:val="right"/>
            </w:pPr>
            <w:r>
              <w:rPr>
                <w:rFonts w:ascii="宋体" w:eastAsia="宋体" w:hAnsi="宋体" w:cs="宋体"/>
                <w:b w:val="0"/>
                <w:i w:val="0"/>
                <w:color w:val="000000"/>
                <w:sz w:val="14"/>
              </w:rPr>
              <w:t xml:space="preserve">58.39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165.50</w:t>
            </w:r>
          </w:p>
        </w:tc>
        <w:tc>
          <w:tcPr>
            <w:tcW w:w="1060" w:type="dxa"/>
            <w:tcBorders/>
            <w:vAlign w:val="center"/>
          </w:tcPr>
          <w:p>
            <w:pPr>
              <w:jc w:val="right"/>
            </w:pPr>
            <w:r>
              <w:rPr>
                <w:rFonts w:ascii="宋体" w:eastAsia="宋体" w:hAnsi="宋体" w:cs="宋体"/>
                <w:b w:val="0"/>
                <w:i w:val="0"/>
                <w:color w:val="000000"/>
                <w:sz w:val="14"/>
              </w:rPr>
              <w:t xml:space="preserve">165.50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165.50</w:t>
            </w:r>
          </w:p>
        </w:tc>
        <w:tc>
          <w:tcPr>
            <w:tcW w:w="1060" w:type="dxa"/>
            <w:tcBorders/>
            <w:vAlign w:val="center"/>
          </w:tcPr>
          <w:p>
            <w:pPr>
              <w:jc w:val="right"/>
            </w:pPr>
            <w:r>
              <w:rPr>
                <w:rFonts w:ascii="宋体" w:eastAsia="宋体" w:hAnsi="宋体" w:cs="宋体"/>
                <w:b w:val="0"/>
                <w:i w:val="0"/>
                <w:color w:val="000000"/>
                <w:sz w:val="14"/>
              </w:rPr>
              <w:t xml:space="preserve">165.50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165.50</w:t>
            </w:r>
          </w:p>
        </w:tc>
        <w:tc>
          <w:tcPr>
            <w:tcW w:w="1060" w:type="dxa"/>
            <w:tcBorders/>
            <w:vAlign w:val="center"/>
          </w:tcPr>
          <w:p>
            <w:pPr>
              <w:jc w:val="right"/>
            </w:pPr>
            <w:r>
              <w:rPr>
                <w:rFonts w:ascii="宋体" w:eastAsia="宋体" w:hAnsi="宋体" w:cs="宋体"/>
                <w:b w:val="0"/>
                <w:i w:val="0"/>
                <w:color w:val="000000"/>
                <w:sz w:val="14"/>
              </w:rPr>
              <w:t xml:space="preserve">165.50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单位：中共辽宁省沈阳市浑南区纪律检查委员会（本级）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2,300.75</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1,890.84</w:t>
            </w:r>
          </w:p>
        </w:tc>
        <w:tc>
          <w:tcPr>
            <w:tcW w:w="1100" w:type="dxa"/>
            <w:tcBorders/>
            <w:vAlign w:val="center"/>
          </w:tcPr>
          <w:p>
            <w:pPr>
              <w:jc w:val="right"/>
            </w:pPr>
            <w:r>
              <w:rPr>
                <w:rFonts w:ascii="宋体" w:eastAsia="宋体" w:hAnsi="宋体" w:cs="宋体"/>
                <w:b w:val="0"/>
                <w:i w:val="0"/>
                <w:color w:val="000000"/>
                <w:sz w:val="14"/>
              </w:rPr>
              <w:t xml:space="preserve">1,890.84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jc w:val="right"/>
            </w:pPr>
            <w:r>
              <w:rPr>
                <w:rFonts w:ascii="宋体" w:eastAsia="宋体" w:hAnsi="宋体" w:cs="宋体"/>
                <w:b w:val="0"/>
                <w:i w:val="0"/>
                <w:color w:val="000000"/>
                <w:sz w:val="14"/>
              </w:rPr>
              <w:t xml:space="preserve">2.68</w:t>
            </w:r>
          </w:p>
        </w:tc>
        <w:tc>
          <w:tcPr>
            <w:tcW w:w="1100" w:type="dxa"/>
            <w:tcBorders/>
            <w:vAlign w:val="center"/>
          </w:tcPr>
          <w:p>
            <w:pPr>
              <w:jc w:val="right"/>
            </w:pPr>
            <w:r>
              <w:rPr>
                <w:rFonts w:ascii="宋体" w:eastAsia="宋体" w:hAnsi="宋体" w:cs="宋体"/>
                <w:b w:val="0"/>
                <w:i w:val="0"/>
                <w:color w:val="000000"/>
                <w:sz w:val="14"/>
              </w:rPr>
              <w:t xml:space="preserve">2.68</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183.34</w:t>
            </w:r>
          </w:p>
        </w:tc>
        <w:tc>
          <w:tcPr>
            <w:tcW w:w="1100" w:type="dxa"/>
            <w:tcBorders/>
            <w:vAlign w:val="center"/>
          </w:tcPr>
          <w:p>
            <w:pPr>
              <w:jc w:val="right"/>
            </w:pPr>
            <w:r>
              <w:rPr>
                <w:rFonts w:ascii="宋体" w:eastAsia="宋体" w:hAnsi="宋体" w:cs="宋体"/>
                <w:b w:val="0"/>
                <w:i w:val="0"/>
                <w:color w:val="000000"/>
                <w:sz w:val="14"/>
              </w:rPr>
              <w:t xml:space="preserve">183.34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58.39</w:t>
            </w:r>
          </w:p>
        </w:tc>
        <w:tc>
          <w:tcPr>
            <w:tcW w:w="1100" w:type="dxa"/>
            <w:tcBorders/>
            <w:vAlign w:val="center"/>
          </w:tcPr>
          <w:p>
            <w:pPr>
              <w:jc w:val="right"/>
            </w:pPr>
            <w:r>
              <w:rPr>
                <w:rFonts w:ascii="宋体" w:eastAsia="宋体" w:hAnsi="宋体" w:cs="宋体"/>
                <w:b w:val="0"/>
                <w:i w:val="0"/>
                <w:color w:val="000000"/>
                <w:sz w:val="14"/>
              </w:rPr>
              <w:t xml:space="preserve">58.39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165.50</w:t>
            </w:r>
          </w:p>
        </w:tc>
        <w:tc>
          <w:tcPr>
            <w:tcW w:w="1100" w:type="dxa"/>
            <w:tcBorders/>
            <w:vAlign w:val="center"/>
          </w:tcPr>
          <w:p>
            <w:pPr>
              <w:jc w:val="right"/>
            </w:pPr>
            <w:r>
              <w:rPr>
                <w:rFonts w:ascii="宋体" w:eastAsia="宋体" w:hAnsi="宋体" w:cs="宋体"/>
                <w:b w:val="0"/>
                <w:i w:val="0"/>
                <w:color w:val="000000"/>
                <w:sz w:val="14"/>
              </w:rPr>
              <w:t xml:space="preserve">165.50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2,300.75</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2,300.75</w:t>
            </w:r>
          </w:p>
        </w:tc>
        <w:tc>
          <w:tcPr>
            <w:tcW w:w="1100" w:type="dxa"/>
            <w:tcBorders/>
            <w:vAlign w:val="center"/>
          </w:tcPr>
          <w:p>
            <w:pPr>
              <w:jc w:val="right"/>
            </w:pPr>
            <w:r>
              <w:rPr>
                <w:rFonts w:ascii="宋体" w:eastAsia="宋体" w:hAnsi="宋体" w:cs="宋体"/>
                <w:b w:val="0"/>
                <w:i w:val="0"/>
                <w:color w:val="000000"/>
                <w:sz w:val="14"/>
              </w:rPr>
              <w:t xml:space="preserve">2,300.75</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2,300.75</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2,300.75</w:t>
            </w:r>
          </w:p>
        </w:tc>
        <w:tc>
          <w:tcPr>
            <w:tcW w:w="1100" w:type="dxa"/>
            <w:tcBorders/>
            <w:vAlign w:val="center"/>
          </w:tcPr>
          <w:p>
            <w:pPr>
              <w:jc w:val="right"/>
            </w:pPr>
            <w:r>
              <w:rPr>
                <w:rFonts w:ascii="宋体" w:eastAsia="宋体" w:hAnsi="宋体" w:cs="宋体"/>
                <w:b w:val="0"/>
                <w:i w:val="0"/>
                <w:color w:val="000000"/>
                <w:sz w:val="14"/>
              </w:rPr>
              <w:t xml:space="preserve">2,300.75</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单位：中共辽宁省沈阳市浑南区纪律检查委员会（本级）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2,300.75</w:t>
            </w:r>
          </w:p>
        </w:tc>
        <w:tc>
          <w:tcPr>
            <w:tcW w:w="1780" w:type="dxa"/>
            <w:tcBorders/>
            <w:vAlign w:val="center"/>
          </w:tcPr>
          <w:p>
            <w:pPr>
              <w:jc w:val="right"/>
            </w:pPr>
            <w:r>
              <w:rPr>
                <w:rFonts w:ascii="宋体" w:eastAsia="宋体" w:hAnsi="宋体" w:cs="宋体"/>
                <w:b/>
                <w:i w:val="0"/>
                <w:color w:val="000000"/>
                <w:sz w:val="18"/>
              </w:rPr>
              <w:t xml:space="preserve">1,633.25</w:t>
            </w:r>
          </w:p>
        </w:tc>
        <w:tc>
          <w:tcPr>
            <w:tcW w:w="1772" w:type="dxa"/>
            <w:tcBorders/>
            <w:vAlign w:val="center"/>
          </w:tcPr>
          <w:p>
            <w:pPr>
              <w:jc w:val="right"/>
            </w:pPr>
            <w:r>
              <w:rPr>
                <w:rFonts w:ascii="宋体" w:eastAsia="宋体" w:hAnsi="宋体" w:cs="宋体"/>
                <w:b/>
                <w:i w:val="0"/>
                <w:color w:val="000000"/>
                <w:sz w:val="18"/>
              </w:rPr>
              <w:t xml:space="preserve">667.50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1,890.83</w:t>
            </w:r>
          </w:p>
        </w:tc>
        <w:tc>
          <w:tcPr>
            <w:tcW w:w="1780" w:type="dxa"/>
            <w:tcBorders/>
            <w:vAlign w:val="center"/>
          </w:tcPr>
          <w:p>
            <w:pPr>
              <w:jc w:val="right"/>
            </w:pPr>
            <w:r>
              <w:rPr>
                <w:rFonts w:ascii="宋体" w:eastAsia="宋体" w:hAnsi="宋体" w:cs="宋体"/>
                <w:b w:val="0"/>
                <w:i w:val="0"/>
                <w:color w:val="000000"/>
                <w:sz w:val="18"/>
              </w:rPr>
              <w:t xml:space="preserve">1,226.02</w:t>
            </w:r>
          </w:p>
        </w:tc>
        <w:tc>
          <w:tcPr>
            <w:tcW w:w="1772" w:type="dxa"/>
            <w:tcBorders/>
            <w:vAlign w:val="center"/>
          </w:tcPr>
          <w:p>
            <w:pPr>
              <w:jc w:val="right"/>
            </w:pPr>
            <w:r>
              <w:rPr>
                <w:rFonts w:ascii="宋体" w:eastAsia="宋体" w:hAnsi="宋体" w:cs="宋体"/>
                <w:b w:val="0"/>
                <w:i w:val="0"/>
                <w:color w:val="000000"/>
                <w:sz w:val="18"/>
              </w:rPr>
              <w:t xml:space="preserve">664.81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20111</w:t>
            </w:r>
          </w:p>
        </w:tc>
        <w:tc>
          <w:tcPr>
            <w:tcW w:w="4300" w:type="dxa"/>
            <w:tcBorders/>
            <w:vAlign w:val="center"/>
          </w:tcPr>
          <w:p>
            <w:pPr>
              <w:jc w:val="left"/>
            </w:pPr>
            <w:r>
              <w:rPr>
                <w:rFonts w:ascii="宋体" w:eastAsia="宋体" w:hAnsi="宋体" w:cs="宋体"/>
                <w:b w:val="0"/>
                <w:i w:val="0"/>
                <w:color w:val="000000"/>
                <w:sz w:val="18"/>
              </w:rPr>
              <w:t xml:space="preserve">纪检监察事务</w:t>
            </w:r>
          </w:p>
        </w:tc>
        <w:tc>
          <w:tcPr>
            <w:tcW w:w="1780" w:type="dxa"/>
            <w:tcBorders/>
            <w:vAlign w:val="center"/>
          </w:tcPr>
          <w:p>
            <w:pPr>
              <w:jc w:val="right"/>
            </w:pPr>
            <w:r>
              <w:rPr>
                <w:rFonts w:ascii="宋体" w:eastAsia="宋体" w:hAnsi="宋体" w:cs="宋体"/>
                <w:b w:val="0"/>
                <w:i w:val="0"/>
                <w:color w:val="000000"/>
                <w:sz w:val="18"/>
              </w:rPr>
              <w:t xml:space="preserve">1,890.83</w:t>
            </w:r>
          </w:p>
        </w:tc>
        <w:tc>
          <w:tcPr>
            <w:tcW w:w="1780" w:type="dxa"/>
            <w:tcBorders/>
            <w:vAlign w:val="center"/>
          </w:tcPr>
          <w:p>
            <w:pPr>
              <w:jc w:val="right"/>
            </w:pPr>
            <w:r>
              <w:rPr>
                <w:rFonts w:ascii="宋体" w:eastAsia="宋体" w:hAnsi="宋体" w:cs="宋体"/>
                <w:b w:val="0"/>
                <w:i w:val="0"/>
                <w:color w:val="000000"/>
                <w:sz w:val="18"/>
              </w:rPr>
              <w:t xml:space="preserve">1,226.02</w:t>
            </w:r>
          </w:p>
        </w:tc>
        <w:tc>
          <w:tcPr>
            <w:tcW w:w="1772" w:type="dxa"/>
            <w:tcBorders/>
            <w:vAlign w:val="center"/>
          </w:tcPr>
          <w:p>
            <w:pPr>
              <w:jc w:val="right"/>
            </w:pPr>
            <w:r>
              <w:rPr>
                <w:rFonts w:ascii="宋体" w:eastAsia="宋体" w:hAnsi="宋体" w:cs="宋体"/>
                <w:b w:val="0"/>
                <w:i w:val="0"/>
                <w:color w:val="000000"/>
                <w:sz w:val="18"/>
              </w:rPr>
              <w:t xml:space="preserve">664.81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2011101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1,226.02</w:t>
            </w:r>
          </w:p>
        </w:tc>
        <w:tc>
          <w:tcPr>
            <w:tcW w:w="1780" w:type="dxa"/>
            <w:tcBorders/>
            <w:vAlign w:val="center"/>
          </w:tcPr>
          <w:p>
            <w:pPr>
              <w:jc w:val="right"/>
            </w:pPr>
            <w:r>
              <w:rPr>
                <w:rFonts w:ascii="宋体" w:eastAsia="宋体" w:hAnsi="宋体" w:cs="宋体"/>
                <w:b w:val="0"/>
                <w:i w:val="0"/>
                <w:color w:val="000000"/>
                <w:sz w:val="18"/>
              </w:rPr>
              <w:t xml:space="preserve">1,226.02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2011102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625.00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625.00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2011199</w:t>
            </w:r>
          </w:p>
        </w:tc>
        <w:tc>
          <w:tcPr>
            <w:tcW w:w="4300" w:type="dxa"/>
            <w:tcBorders/>
            <w:vAlign w:val="center"/>
          </w:tcPr>
          <w:p>
            <w:pPr>
              <w:jc w:val="left"/>
            </w:pPr>
            <w:r>
              <w:rPr>
                <w:rFonts w:ascii="宋体" w:eastAsia="宋体" w:hAnsi="宋体" w:cs="宋体"/>
                <w:b w:val="0"/>
                <w:i w:val="0"/>
                <w:color w:val="000000"/>
                <w:sz w:val="18"/>
              </w:rPr>
              <w:t xml:space="preserve">其他纪检监察事务支出</w:t>
            </w:r>
          </w:p>
        </w:tc>
        <w:tc>
          <w:tcPr>
            <w:tcW w:w="1780" w:type="dxa"/>
            <w:tcBorders/>
            <w:vAlign w:val="center"/>
          </w:tcPr>
          <w:p>
            <w:pPr>
              <w:jc w:val="right"/>
            </w:pPr>
            <w:r>
              <w:rPr>
                <w:rFonts w:ascii="宋体" w:eastAsia="宋体" w:hAnsi="宋体" w:cs="宋体"/>
                <w:b w:val="0"/>
                <w:i w:val="0"/>
                <w:color w:val="000000"/>
                <w:sz w:val="18"/>
              </w:rPr>
              <w:t xml:space="preserve">39.81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39.81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w:t>
            </w:r>
          </w:p>
        </w:tc>
        <w:tc>
          <w:tcPr>
            <w:tcW w:w="4300" w:type="dxa"/>
            <w:tcBorders/>
            <w:vAlign w:val="center"/>
          </w:tcPr>
          <w:p>
            <w:pPr>
              <w:jc w:val="left"/>
            </w:pPr>
            <w:r>
              <w:rPr>
                <w:rFonts w:ascii="宋体" w:eastAsia="宋体" w:hAnsi="宋体" w:cs="宋体"/>
                <w:b w:val="0"/>
                <w:i w:val="0"/>
                <w:color w:val="000000"/>
                <w:sz w:val="18"/>
              </w:rPr>
              <w:t xml:space="preserve">教育支出</w:t>
            </w:r>
          </w:p>
        </w:tc>
        <w:tc>
          <w:tcPr>
            <w:tcW w:w="1780" w:type="dxa"/>
            <w:tcBorders/>
            <w:vAlign w:val="center"/>
          </w:tcPr>
          <w:p>
            <w:pPr>
              <w:jc w:val="right"/>
            </w:pPr>
            <w:r>
              <w:rPr>
                <w:rFonts w:ascii="宋体" w:eastAsia="宋体" w:hAnsi="宋体" w:cs="宋体"/>
                <w:b w:val="0"/>
                <w:i w:val="0"/>
                <w:color w:val="000000"/>
                <w:sz w:val="18"/>
              </w:rPr>
              <w:t xml:space="preserve">2.68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2.68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20508</w:t>
            </w:r>
          </w:p>
        </w:tc>
        <w:tc>
          <w:tcPr>
            <w:tcW w:w="4300" w:type="dxa"/>
            <w:tcBorders/>
            <w:vAlign w:val="center"/>
          </w:tcPr>
          <w:p>
            <w:pPr>
              <w:jc w:val="left"/>
            </w:pPr>
            <w:r>
              <w:rPr>
                <w:rFonts w:ascii="宋体" w:eastAsia="宋体" w:hAnsi="宋体" w:cs="宋体"/>
                <w:b w:val="0"/>
                <w:i w:val="0"/>
                <w:color w:val="000000"/>
                <w:sz w:val="18"/>
              </w:rPr>
              <w:t xml:space="preserve">进修及培训</w:t>
            </w:r>
          </w:p>
        </w:tc>
        <w:tc>
          <w:tcPr>
            <w:tcW w:w="1780" w:type="dxa"/>
            <w:tcBorders/>
            <w:vAlign w:val="center"/>
          </w:tcPr>
          <w:p>
            <w:pPr>
              <w:jc w:val="right"/>
            </w:pPr>
            <w:r>
              <w:rPr>
                <w:rFonts w:ascii="宋体" w:eastAsia="宋体" w:hAnsi="宋体" w:cs="宋体"/>
                <w:b w:val="0"/>
                <w:i w:val="0"/>
                <w:color w:val="000000"/>
                <w:sz w:val="18"/>
              </w:rPr>
              <w:t xml:space="preserve">2.68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2.68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2050803</w:t>
            </w:r>
          </w:p>
        </w:tc>
        <w:tc>
          <w:tcPr>
            <w:tcW w:w="4300" w:type="dxa"/>
            <w:tcBorders/>
            <w:vAlign w:val="center"/>
          </w:tcPr>
          <w:p>
            <w:pPr>
              <w:jc w:val="left"/>
            </w:pPr>
            <w:r>
              <w:rPr>
                <w:rFonts w:ascii="宋体" w:eastAsia="宋体" w:hAnsi="宋体" w:cs="宋体"/>
                <w:b w:val="0"/>
                <w:i w:val="0"/>
                <w:color w:val="000000"/>
                <w:sz w:val="18"/>
              </w:rPr>
              <w:t xml:space="preserve">培训支出</w:t>
            </w:r>
          </w:p>
        </w:tc>
        <w:tc>
          <w:tcPr>
            <w:tcW w:w="1780" w:type="dxa"/>
            <w:tcBorders/>
            <w:vAlign w:val="center"/>
          </w:tcPr>
          <w:p>
            <w:pPr>
              <w:jc w:val="right"/>
            </w:pPr>
            <w:r>
              <w:rPr>
                <w:rFonts w:ascii="宋体" w:eastAsia="宋体" w:hAnsi="宋体" w:cs="宋体"/>
                <w:b w:val="0"/>
                <w:i w:val="0"/>
                <w:color w:val="000000"/>
                <w:sz w:val="18"/>
              </w:rPr>
              <w:t xml:space="preserve">2.68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2.68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183.34</w:t>
            </w:r>
          </w:p>
        </w:tc>
        <w:tc>
          <w:tcPr>
            <w:tcW w:w="1780" w:type="dxa"/>
            <w:tcBorders/>
            <w:vAlign w:val="center"/>
          </w:tcPr>
          <w:p>
            <w:pPr>
              <w:jc w:val="right"/>
            </w:pPr>
            <w:r>
              <w:rPr>
                <w:rFonts w:ascii="宋体" w:eastAsia="宋体" w:hAnsi="宋体" w:cs="宋体"/>
                <w:b w:val="0"/>
                <w:i w:val="0"/>
                <w:color w:val="000000"/>
                <w:sz w:val="18"/>
              </w:rPr>
              <w:t xml:space="preserve">183.34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183.34</w:t>
            </w:r>
          </w:p>
        </w:tc>
        <w:tc>
          <w:tcPr>
            <w:tcW w:w="1780" w:type="dxa"/>
            <w:tcBorders/>
            <w:vAlign w:val="center"/>
          </w:tcPr>
          <w:p>
            <w:pPr>
              <w:jc w:val="right"/>
            </w:pPr>
            <w:r>
              <w:rPr>
                <w:rFonts w:ascii="宋体" w:eastAsia="宋体" w:hAnsi="宋体" w:cs="宋体"/>
                <w:b w:val="0"/>
                <w:i w:val="0"/>
                <w:color w:val="000000"/>
                <w:sz w:val="18"/>
              </w:rPr>
              <w:t xml:space="preserve">183.34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4.87</w:t>
            </w:r>
          </w:p>
        </w:tc>
        <w:tc>
          <w:tcPr>
            <w:tcW w:w="1780" w:type="dxa"/>
            <w:tcBorders/>
            <w:vAlign w:val="center"/>
          </w:tcPr>
          <w:p>
            <w:pPr>
              <w:jc w:val="right"/>
            </w:pPr>
            <w:r>
              <w:rPr>
                <w:rFonts w:ascii="宋体" w:eastAsia="宋体" w:hAnsi="宋体" w:cs="宋体"/>
                <w:b w:val="0"/>
                <w:i w:val="0"/>
                <w:color w:val="000000"/>
                <w:sz w:val="18"/>
              </w:rPr>
              <w:t xml:space="preserve">4.87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150.21</w:t>
            </w:r>
          </w:p>
        </w:tc>
        <w:tc>
          <w:tcPr>
            <w:tcW w:w="1780" w:type="dxa"/>
            <w:tcBorders/>
            <w:vAlign w:val="center"/>
          </w:tcPr>
          <w:p>
            <w:pPr>
              <w:jc w:val="right"/>
            </w:pPr>
            <w:r>
              <w:rPr>
                <w:rFonts w:ascii="宋体" w:eastAsia="宋体" w:hAnsi="宋体" w:cs="宋体"/>
                <w:b w:val="0"/>
                <w:i w:val="0"/>
                <w:color w:val="000000"/>
                <w:sz w:val="18"/>
              </w:rPr>
              <w:t xml:space="preserve">150.21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28.26</w:t>
            </w:r>
          </w:p>
        </w:tc>
        <w:tc>
          <w:tcPr>
            <w:tcW w:w="1780" w:type="dxa"/>
            <w:tcBorders/>
            <w:vAlign w:val="center"/>
          </w:tcPr>
          <w:p>
            <w:pPr>
              <w:jc w:val="right"/>
            </w:pPr>
            <w:r>
              <w:rPr>
                <w:rFonts w:ascii="宋体" w:eastAsia="宋体" w:hAnsi="宋体" w:cs="宋体"/>
                <w:b w:val="0"/>
                <w:i w:val="0"/>
                <w:color w:val="000000"/>
                <w:sz w:val="18"/>
              </w:rPr>
              <w:t xml:space="preserve">28.26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58.39</w:t>
            </w:r>
          </w:p>
        </w:tc>
        <w:tc>
          <w:tcPr>
            <w:tcW w:w="1780" w:type="dxa"/>
            <w:tcBorders/>
            <w:vAlign w:val="center"/>
          </w:tcPr>
          <w:p>
            <w:pPr>
              <w:jc w:val="right"/>
            </w:pPr>
            <w:r>
              <w:rPr>
                <w:rFonts w:ascii="宋体" w:eastAsia="宋体" w:hAnsi="宋体" w:cs="宋体"/>
                <w:b w:val="0"/>
                <w:i w:val="0"/>
                <w:color w:val="000000"/>
                <w:sz w:val="18"/>
              </w:rPr>
              <w:t xml:space="preserve">58.39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58.39</w:t>
            </w:r>
          </w:p>
        </w:tc>
        <w:tc>
          <w:tcPr>
            <w:tcW w:w="1780" w:type="dxa"/>
            <w:tcBorders/>
            <w:vAlign w:val="center"/>
          </w:tcPr>
          <w:p>
            <w:pPr>
              <w:jc w:val="right"/>
            </w:pPr>
            <w:r>
              <w:rPr>
                <w:rFonts w:ascii="宋体" w:eastAsia="宋体" w:hAnsi="宋体" w:cs="宋体"/>
                <w:b w:val="0"/>
                <w:i w:val="0"/>
                <w:color w:val="000000"/>
                <w:sz w:val="18"/>
              </w:rPr>
              <w:t xml:space="preserve">58.39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58.39</w:t>
            </w:r>
          </w:p>
        </w:tc>
        <w:tc>
          <w:tcPr>
            <w:tcW w:w="1780" w:type="dxa"/>
            <w:tcBorders/>
            <w:vAlign w:val="center"/>
          </w:tcPr>
          <w:p>
            <w:pPr>
              <w:jc w:val="right"/>
            </w:pPr>
            <w:r>
              <w:rPr>
                <w:rFonts w:ascii="宋体" w:eastAsia="宋体" w:hAnsi="宋体" w:cs="宋体"/>
                <w:b w:val="0"/>
                <w:i w:val="0"/>
                <w:color w:val="000000"/>
                <w:sz w:val="18"/>
              </w:rPr>
              <w:t xml:space="preserve">58.39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165.50</w:t>
            </w:r>
          </w:p>
        </w:tc>
        <w:tc>
          <w:tcPr>
            <w:tcW w:w="1780" w:type="dxa"/>
            <w:tcBorders/>
            <w:vAlign w:val="center"/>
          </w:tcPr>
          <w:p>
            <w:pPr>
              <w:jc w:val="right"/>
            </w:pPr>
            <w:r>
              <w:rPr>
                <w:rFonts w:ascii="宋体" w:eastAsia="宋体" w:hAnsi="宋体" w:cs="宋体"/>
                <w:b w:val="0"/>
                <w:i w:val="0"/>
                <w:color w:val="000000"/>
                <w:sz w:val="18"/>
              </w:rPr>
              <w:t xml:space="preserve">165.50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165.50</w:t>
            </w:r>
          </w:p>
        </w:tc>
        <w:tc>
          <w:tcPr>
            <w:tcW w:w="1780" w:type="dxa"/>
            <w:tcBorders/>
            <w:vAlign w:val="center"/>
          </w:tcPr>
          <w:p>
            <w:pPr>
              <w:jc w:val="right"/>
            </w:pPr>
            <w:r>
              <w:rPr>
                <w:rFonts w:ascii="宋体" w:eastAsia="宋体" w:hAnsi="宋体" w:cs="宋体"/>
                <w:b w:val="0"/>
                <w:i w:val="0"/>
                <w:color w:val="000000"/>
                <w:sz w:val="18"/>
              </w:rPr>
              <w:t xml:space="preserve">165.50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165.50</w:t>
            </w:r>
          </w:p>
        </w:tc>
        <w:tc>
          <w:tcPr>
            <w:tcW w:w="1780" w:type="dxa"/>
            <w:tcBorders/>
            <w:vAlign w:val="center"/>
          </w:tcPr>
          <w:p>
            <w:pPr>
              <w:jc w:val="right"/>
            </w:pPr>
            <w:r>
              <w:rPr>
                <w:rFonts w:ascii="宋体" w:eastAsia="宋体" w:hAnsi="宋体" w:cs="宋体"/>
                <w:b w:val="0"/>
                <w:i w:val="0"/>
                <w:color w:val="000000"/>
                <w:sz w:val="18"/>
              </w:rPr>
              <w:t xml:space="preserve">165.50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单位：中共辽宁省沈阳市浑南区纪律检查委员会（本级）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1,467.36</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159.41</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391.97</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24.74</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312.77</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jc w:val="right"/>
            </w:pPr>
            <w:r>
              <w:rPr>
                <w:rFonts w:ascii="宋体" w:eastAsia="宋体" w:hAnsi="宋体" w:cs="宋体"/>
                <w:b w:val="0"/>
                <w:i w:val="0"/>
                <w:color w:val="000000"/>
                <w:sz w:val="14"/>
              </w:rPr>
              <w:t xml:space="preserve">0.21</w:t>
            </w: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327.08</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29.43</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150.21</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28.26</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52.42</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58.39</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3.76</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165.50</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6.48</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4.87</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jc w:val="right"/>
            </w:pPr>
            <w:r>
              <w:rPr>
                <w:rFonts w:ascii="宋体" w:eastAsia="宋体" w:hAnsi="宋体" w:cs="宋体"/>
                <w:b w:val="0"/>
                <w:i w:val="0"/>
                <w:color w:val="000000"/>
                <w:sz w:val="14"/>
              </w:rPr>
              <w:t xml:space="preserve">1.61</w:t>
            </w: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7.31</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74.73</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1,473.84</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159.41</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单位：中共辽宁省沈阳市浑南区纪律检查委员会（本级）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单位：中共辽宁省沈阳市浑南区纪律检查委员会（本级）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单位：中共辽宁省沈阳市浑南区纪律检查委员会（本级）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005001中共沈阳市浑南区纪律检查委员会本级-210112000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1821.52</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1821.52</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1199.11</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1199.11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349.36</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349.36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50.37</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50.37</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34.41</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高质量完成本年度预算，减少经费结余</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高质量完成本年度预算，减少经费结余</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政治效益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有利于促进社会公平、正义</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公平公正</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举报移送立案率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被保障人员满意度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统筹推进纪检监察体制改革</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持续推进</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完善巡视巡察上下联动工作格局</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持续完善</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档案电子化建设及归档管理</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中共沈阳市浑南区纪律检查委员会-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中共沈阳市浑南区纪律检查委员会本级-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49.54%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为加速档案数字化进程，提高档案综合服务能力，努力实现我委档案科学化、信息化、规范化管理，逐步推进我委数字化档案室建设提档升级。</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为加速档案数字化进程，提高档案综合服务能力，努力实现我委档案科学化、信息化、规范化管理，逐步推进我委数字化档案室建设提档升级。</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保证网络系统正常运行天数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下拨经费符合相关政策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35.95375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干部培训费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中共沈阳市浑南区纪律检查委员会-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中共沈阳市浑南区纪律检查委员会本级-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坚持理论基础与实战应用相结合、岗位要求与干部能力相适应、监督制约与关心厚爱相统一的原则，通过系统的培训学习，促进全区纪检监察干部职责于心、担责于身、履责于行、尽责于效，提高全区干部的理论素养、知识水平、业务素质和综合能力，建设一支高素质专业化纪检监察干部队伍。</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坚持理论基础与实战应用相结合、岗位要求与干部能力相适应、监督制约与关心厚爱相统一的原则，通过系统的培训学习，促进全区纪检监察干部职责于心、担责于身、履责于行、尽责于效，提高全区干部的理论素养、知识水平、业务素质和综合能力，建设一支高素质专业化纪检监察干部队伍。</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参加培训人员到课率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下拨经费符合相关政策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33.68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中共沈阳市浑南区纪律检查委员会-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中共沈阳市浑南区纪律检查委员会本级-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10.31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78.08%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确保单位工作正常运转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单位工作正常运转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党员教育、管理和服务人数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下拨经费符合相关政策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7.81</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8.80766246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纪检监察巡察办案业务费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中共沈阳市浑南区纪律检查委员会-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中共沈阳市浑南区纪律检查委员会本级-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190.57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95.28%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为贯彻落实中纪委、省市纪委和区委对纪检监察工作的要求，加大监督执纪问责力度，深入开展党风廉政建设和反腐败工作，保障纪委办案工作正常运转。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为贯彻落实中纪委、省市纪委和区委对纪检监察工作的要求，加大监督执纪问责力度，深入开展党风廉政建设和反腐败工作，保障纪委办案工作正常运转。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执法办案案件数量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下拨经费符合相关政策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99.53</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纪检监察巡察专项业务经费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中共沈阳市浑南区纪律检查委员会-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中共沈阳市浑南区纪律检查委员会本级-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459.95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362.64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78.84%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按照中纪委、省市纪委各方面决策部署的贯彻实施，加大监督执纪问责力度，深入开展党风廉政建设和反腐败工作，保障纪委办案工作正常运转。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按照中纪委、省市纪委各方面决策部署的贯彻实施，加大监督执纪问责力度，深入开展党风廉政建设和反腐败工作，保障纪委办案工作正常运转。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执法办案案件数量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下拨经费符合相关政策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8.88428251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缴纳残疾人就业保障金（文行科）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中共沈阳市浑南区纪律检查委员会-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中共沈阳市浑南区纪律检查委员会本级-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12.83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12.28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95.73%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为贯彻落实中纪委、省市纪委和区委对纪检监察工作的要求，加大监督执纪问责力度，深入开展党风廉政建设和反腐败工作，保障纪委办案工作正常运转。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为贯彻落实中纪委、省市纪委和区委对纪检监察工作的要求，加大监督执纪问责力度，深入开展党风廉政建设和反腐败工作，保障纪委办案工作正常运转。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补助贫困残疾人家庭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户</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残疾人托养服务补助人数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残疾人基本生活照料和护理需求满足率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改善残疾人和残疾儿童生活状况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99.57</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网络服务费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中共沈阳市浑南区纪律检查委员会-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中共沈阳市浑南区纪律检查委员会本级-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确保文件传输、信息上传工作的及时性、安全性，对涉密网络、保密设备进行维护，保证内部局域网络正常安全运营。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确保文件传输、信息上传工作的及时性、安全性，对涉密网络、保密设备进行维护，保证内部局域网络正常安全运营。</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保证网络系统正常运行天数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下拨经费符合相关政策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业务宣传经费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中共沈阳市浑南区纪律检查委员会-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中共沈阳市浑南区纪律检查委员会本级-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77.99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55.31%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组织召开全区领导干部警示教育大会；做好新媒体“廉洁浑南”公众号平台的运营工作，为浑南纪检监察发声；拍摄自办案件警示教育片，用身边事教育身边人；做好全区党员干部征订“两报一刊”工作。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组织召开全区领导干部警示教育大会；做好新媒体“廉洁浑南”公众号平台的运营工作，为浑南纪检监察发声；拍摄自办案件警示教育片，用身边事教育身边人；做好全区党员干部征订“两报一刊”工作。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拍摄制作宣传片数量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部</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下拨经费符合相关政策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26.53104844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综合类会议费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中共沈阳市浑南区纪律检查委员会-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中共沈阳市浑南区纪律检查委员会本级-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47.75%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深入学习党风廉政建设和反腐败工作，提升纪检监察干部思想政治素质和业务工作能力。</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深入学习党风廉政建设和反腐败工作，提升纪检监察干部思想政治素质和业务工作能力。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召开会议次数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下拨经费符合相关政策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35.775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