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辽宁省沈阳市浑南区纪委监委综合保障中心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辽宁省沈阳市浑南区纪委监委综合保障中心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辽宁省沈阳市浑南区纪委监委综合保障中心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辽宁省沈阳市浑南区纪委监委综合保障中心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辽宁省沈阳市浑南区纪委监委综合保障中心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辽宁省沈阳市浑南区纪委监委综合保障中心概况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根据中共沈阳市浑南区委机构编制委员会关于印发《区委编委关于调整事业单位机构编制事项的通知》（沈浑南编发〔2022〕59号）要求，设立沈阳市浑南区纪委监委综合保障中心（沈阳市浑南区纪检监察大数据监督保障中心）为区纪委监委机关所属事业单位，机构规格为副处级。主要负责区纪委监委内外网、纪检监察大数据平台建设等服务保障工作。主要职责：</w:t>
        <w:br/>
        <w:t xml:space="preserve">    （一）承担区纪委监委机关综合事务服务保障职责，承担保障区纪委监委机关办案场所日常运行的维护管理工作。 </w:t>
        <w:br/>
        <w:t xml:space="preserve">    （二）承担区纪委监委机关的信息化建设工作，为区纪委监委机关履行纪检监察职能提供网络信息技术服务（主要是内外网 建设、维护、运行）。 </w:t>
        <w:br/>
        <w:t xml:space="preserve">    （三）承担正风肃纪大数据应用等信息平台的安全和运行的维护工作，为纪检监察工作提供基础设施保障。 </w:t>
        <w:br/>
        <w:t xml:space="preserve">    （四）承担建设区纪检监察大数据库、汇聚和应用数据库数 据等技术保障工作。 </w:t>
        <w:br/>
        <w:t xml:space="preserve">    （五）承担纪检监察大数据应用业务培训教育工作。 </w:t>
        <w:br/>
        <w:t xml:space="preserve">    （六）承担本单位党组织建设和人才队伍建设工作。 </w:t>
        <w:br/>
        <w:t xml:space="preserve">    （七）承担本单位安全生产、环境保护及职业健康等相关工 作。 </w:t>
        <w:br/>
        <w:t xml:space="preserve">    （八）完成区委及区纪委监委机关交办的其他任务。 </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辽宁省沈阳市浑南区纪委监委综合保障中心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沈阳市浑南区纪委监委综合保障中心本级，本单位无下设机构。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352.42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352.42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352.42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增加316.86万元，增长890.86%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2023年本单位为新成立单位，随着人员调入，人员经费支出随之增加；同时，当年本单位搬迁至新办公场所办公，各个项目如物业费等财政拨款收入也随之增加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352.42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102.76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29.16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工资福利支出96.45万元；商品和服务支出6.31万元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249.66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70.84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主要包括物业费、内网设备维护费等业务支出。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增加316.86万元，增长890.86%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2023年本单位为新成立单位，随着人员调入，人员经费支出随之增加；同时，2024年本单位搬迁至新办公场所办公，各个项目如物业费等项目支出也随之增加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收支平衡稳定</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352.42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102.76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249.66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增加316.86万元，增长890.86%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2023年本单位为新成立单位，随着人员调入，人员经费支出随之增加；同时，2024年本单位搬迁至新办公场所办公，各个项目如物业费等项目支出也随之增加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90.50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107.74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84.90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2024年度一般公共预算财政拨款支出352.42万元。按支出功能分类科目分，包括：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1.一般公共服务支出325.65万元，具体包括：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纪检监察事务（款）事业运行（项）75.99万元,主要是事业单位的基本支出等支出，完成年初预算的103%，决算数与年初预算数存在差异的主要原因是2024年中心有人员调入，有人员经费追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纪检监察事务（款）其他纪检监察事务支出（项）249.66万元,主要是纪检监察事务项目等支出，完成年初预算的84.75%，决算数与年初预算数存在差异的主要原因是财力资金紧张，暂缓资金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2.社会保障和就业支出11.56万元，具体包括：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11.56万元,主要是人员养老保险等支出，完成年初预算的146%，决算数与年初预算数存在差异的主要原因是2024年中心有人员调入，有人员经费追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3.卫生健康支出5.27万元，具体包括：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（1）卫生健康支出（类）行政事业单位医疗（款）事业单位医疗（项）5.27万元,主要是医疗保险等支出，完成年初预算的165%，决算数与年初预算数存在差异的主要原因是2024年中心有人员调入，有人员经费追加。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4.住房保障支出9.94万元，具体包括：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（1）住房保障支出（类）住房改革支出（款）住房公积金（项）9.94万元,主要是住房公积金等支出，完成年初预算的93.16%，决算数与年初预算数存在差异的主要原因是未发放2024年度公积金高比例部分。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我中心继续严格按照中央及省委、省政府关于厉行节约、改进工作作风、密切联系群众“八项规定”等有关要求，严格控制“三公”经费支出，压缩经费，今年没有安排此项经费。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我中心继续严格按照中央及省委、省政府关于厉行节约、改进工作作风、密切联系群众“八项规定”等有关要求，严格控制“三公”经费支出，压缩经费，今年没有安排此项经费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上年和今年均无此任务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我中心继续严格按照中央及省委、省政府关于厉行节约、改进工作作风、密切联系群众“八项规定”等有关要求，严格控制“三公”经费支出，压缩经费，今年没有安排此项经费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上年和今年均无此任务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我中心继续严格按照中央及省委、省政府关于厉行节约、改进工作作风、密切联系群众“八项规定”等有关要求，严格控制“三公”经费支出，压缩经费，今年没有安排此项经费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上年和今年均无此任务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102.76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96.45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6.31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纪委监委综合保障中心属于事业单位，无机关运行经费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具体而言，本年度我部门共组织对7项目实施了绩效评价。从预算资金来源看，涉及一般公共预算的项目7个，涉及政府性基金预算的项目0个，涉及国有资本经营预算的项目0个。</w:t>
        <w:br/>
        <w:t xml:space="preserve">    上述评价工作共涉及财政资金249.66万元。其中，一般公共预算资金249.66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1个；得分在60分（含）至80分、等级为“中”的项目有1个；得分在60分以下、等级为“差”的项目有0个。各项目自评发现，部分项目存在问题，如预算执行进度偏慢，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在全面自评的基础上，本部门选取了2个资金量大、社会关注度高、具有代表性的重点项目实施了部门重点评价。评价工作通过现场核查，确保了评价结果的客观性和公正性。</w:t>
        <w:br/>
        <w:t xml:space="preserve">    我部门组织对2个项目重点评价，结果显示，被评价项目整体绩效情况良好。其中：第一个重点项目为物业、保安管理服务，涉及资金230万元，评价平均分为98.25分，评级情况为优；第二个重点项目为专用设备购置，涉及资金15万元，评价平均分为99.47分，评级情况为优。同时，评价也发现2个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352.42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325.65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11.56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5.27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9.94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352.42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352.42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352.42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352.42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352.42</w:t>
            </w:r>
          </w:p>
        </w:tc>
        <w:tc>
          <w:tcPr>
            <w:tcW w:w="960" w:type="dxa"/>
            <w:tcBorders/>
            <w:vAlign w:val="center"/>
          </w:tcPr>
          <w:p>
            <w:pPr>
              <w:jc w:val="right"/>
            </w:pPr>
            <w:r>
              <w:rPr>
                <w:rFonts w:ascii="宋体" w:eastAsia="宋体" w:hAnsi="宋体" w:cs="宋体"/>
                <w:b/>
                <w:i w:val="0"/>
                <w:color w:val="000000"/>
                <w:sz w:val="13"/>
              </w:rPr>
              <w:t xml:space="preserve">352.42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325.65</w:t>
            </w:r>
          </w:p>
        </w:tc>
        <w:tc>
          <w:tcPr>
            <w:tcW w:w="960" w:type="dxa"/>
            <w:tcBorders/>
            <w:vAlign w:val="center"/>
          </w:tcPr>
          <w:p>
            <w:pPr>
              <w:jc w:val="right"/>
            </w:pPr>
            <w:r>
              <w:rPr>
                <w:rFonts w:ascii="宋体" w:eastAsia="宋体" w:hAnsi="宋体" w:cs="宋体"/>
                <w:b w:val="0"/>
                <w:i w:val="0"/>
                <w:color w:val="000000"/>
                <w:sz w:val="13"/>
              </w:rPr>
              <w:t xml:space="preserve">325.65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325.65</w:t>
            </w:r>
          </w:p>
        </w:tc>
        <w:tc>
          <w:tcPr>
            <w:tcW w:w="960" w:type="dxa"/>
            <w:tcBorders/>
            <w:vAlign w:val="center"/>
          </w:tcPr>
          <w:p>
            <w:pPr>
              <w:jc w:val="right"/>
            </w:pPr>
            <w:r>
              <w:rPr>
                <w:rFonts w:ascii="宋体" w:eastAsia="宋体" w:hAnsi="宋体" w:cs="宋体"/>
                <w:b w:val="0"/>
                <w:i w:val="0"/>
                <w:color w:val="000000"/>
                <w:sz w:val="13"/>
              </w:rPr>
              <w:t xml:space="preserve">325.65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75.99</w:t>
            </w:r>
          </w:p>
        </w:tc>
        <w:tc>
          <w:tcPr>
            <w:tcW w:w="960" w:type="dxa"/>
            <w:tcBorders/>
            <w:vAlign w:val="center"/>
          </w:tcPr>
          <w:p>
            <w:pPr>
              <w:jc w:val="right"/>
            </w:pPr>
            <w:r>
              <w:rPr>
                <w:rFonts w:ascii="宋体" w:eastAsia="宋体" w:hAnsi="宋体" w:cs="宋体"/>
                <w:b w:val="0"/>
                <w:i w:val="0"/>
                <w:color w:val="000000"/>
                <w:sz w:val="13"/>
              </w:rPr>
              <w:t xml:space="preserve">75.99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249.66</w:t>
            </w:r>
          </w:p>
        </w:tc>
        <w:tc>
          <w:tcPr>
            <w:tcW w:w="960" w:type="dxa"/>
            <w:tcBorders/>
            <w:vAlign w:val="center"/>
          </w:tcPr>
          <w:p>
            <w:pPr>
              <w:jc w:val="right"/>
            </w:pPr>
            <w:r>
              <w:rPr>
                <w:rFonts w:ascii="宋体" w:eastAsia="宋体" w:hAnsi="宋体" w:cs="宋体"/>
                <w:b w:val="0"/>
                <w:i w:val="0"/>
                <w:color w:val="000000"/>
                <w:sz w:val="13"/>
              </w:rPr>
              <w:t xml:space="preserve">249.66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11.56</w:t>
            </w:r>
          </w:p>
        </w:tc>
        <w:tc>
          <w:tcPr>
            <w:tcW w:w="960" w:type="dxa"/>
            <w:tcBorders/>
            <w:vAlign w:val="center"/>
          </w:tcPr>
          <w:p>
            <w:pPr>
              <w:jc w:val="right"/>
            </w:pPr>
            <w:r>
              <w:rPr>
                <w:rFonts w:ascii="宋体" w:eastAsia="宋体" w:hAnsi="宋体" w:cs="宋体"/>
                <w:b w:val="0"/>
                <w:i w:val="0"/>
                <w:color w:val="000000"/>
                <w:sz w:val="13"/>
              </w:rPr>
              <w:t xml:space="preserve">11.56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11.56</w:t>
            </w:r>
          </w:p>
        </w:tc>
        <w:tc>
          <w:tcPr>
            <w:tcW w:w="960" w:type="dxa"/>
            <w:tcBorders/>
            <w:vAlign w:val="center"/>
          </w:tcPr>
          <w:p>
            <w:pPr>
              <w:jc w:val="right"/>
            </w:pPr>
            <w:r>
              <w:rPr>
                <w:rFonts w:ascii="宋体" w:eastAsia="宋体" w:hAnsi="宋体" w:cs="宋体"/>
                <w:b w:val="0"/>
                <w:i w:val="0"/>
                <w:color w:val="000000"/>
                <w:sz w:val="13"/>
              </w:rPr>
              <w:t xml:space="preserve">11.56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11.56</w:t>
            </w:r>
          </w:p>
        </w:tc>
        <w:tc>
          <w:tcPr>
            <w:tcW w:w="960" w:type="dxa"/>
            <w:tcBorders/>
            <w:vAlign w:val="center"/>
          </w:tcPr>
          <w:p>
            <w:pPr>
              <w:jc w:val="right"/>
            </w:pPr>
            <w:r>
              <w:rPr>
                <w:rFonts w:ascii="宋体" w:eastAsia="宋体" w:hAnsi="宋体" w:cs="宋体"/>
                <w:b w:val="0"/>
                <w:i w:val="0"/>
                <w:color w:val="000000"/>
                <w:sz w:val="13"/>
              </w:rPr>
              <w:t xml:space="preserve">11.56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9.94</w:t>
            </w:r>
          </w:p>
        </w:tc>
        <w:tc>
          <w:tcPr>
            <w:tcW w:w="960" w:type="dxa"/>
            <w:tcBorders/>
            <w:vAlign w:val="center"/>
          </w:tcPr>
          <w:p>
            <w:pPr>
              <w:jc w:val="right"/>
            </w:pPr>
            <w:r>
              <w:rPr>
                <w:rFonts w:ascii="宋体" w:eastAsia="宋体" w:hAnsi="宋体" w:cs="宋体"/>
                <w:b w:val="0"/>
                <w:i w:val="0"/>
                <w:color w:val="000000"/>
                <w:sz w:val="13"/>
              </w:rPr>
              <w:t xml:space="preserve">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9.94</w:t>
            </w:r>
          </w:p>
        </w:tc>
        <w:tc>
          <w:tcPr>
            <w:tcW w:w="960" w:type="dxa"/>
            <w:tcBorders/>
            <w:vAlign w:val="center"/>
          </w:tcPr>
          <w:p>
            <w:pPr>
              <w:jc w:val="right"/>
            </w:pPr>
            <w:r>
              <w:rPr>
                <w:rFonts w:ascii="宋体" w:eastAsia="宋体" w:hAnsi="宋体" w:cs="宋体"/>
                <w:b w:val="0"/>
                <w:i w:val="0"/>
                <w:color w:val="000000"/>
                <w:sz w:val="13"/>
              </w:rPr>
              <w:t xml:space="preserve">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9.94</w:t>
            </w:r>
          </w:p>
        </w:tc>
        <w:tc>
          <w:tcPr>
            <w:tcW w:w="960" w:type="dxa"/>
            <w:tcBorders/>
            <w:vAlign w:val="center"/>
          </w:tcPr>
          <w:p>
            <w:pPr>
              <w:jc w:val="right"/>
            </w:pPr>
            <w:r>
              <w:rPr>
                <w:rFonts w:ascii="宋体" w:eastAsia="宋体" w:hAnsi="宋体" w:cs="宋体"/>
                <w:b w:val="0"/>
                <w:i w:val="0"/>
                <w:color w:val="000000"/>
                <w:sz w:val="13"/>
              </w:rPr>
              <w:t xml:space="preserve">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352.42</w:t>
            </w:r>
          </w:p>
        </w:tc>
        <w:tc>
          <w:tcPr>
            <w:tcW w:w="1060" w:type="dxa"/>
            <w:tcBorders/>
            <w:vAlign w:val="center"/>
          </w:tcPr>
          <w:p>
            <w:pPr>
              <w:jc w:val="right"/>
            </w:pPr>
            <w:r>
              <w:rPr>
                <w:rFonts w:ascii="宋体" w:eastAsia="宋体" w:hAnsi="宋体" w:cs="宋体"/>
                <w:b/>
                <w:i w:val="0"/>
                <w:color w:val="000000"/>
                <w:sz w:val="14"/>
              </w:rPr>
              <w:t xml:space="preserve">102.76</w:t>
            </w:r>
          </w:p>
        </w:tc>
        <w:tc>
          <w:tcPr>
            <w:tcW w:w="1060" w:type="dxa"/>
            <w:tcBorders/>
            <w:vAlign w:val="center"/>
          </w:tcPr>
          <w:p>
            <w:pPr>
              <w:jc w:val="right"/>
            </w:pPr>
            <w:r>
              <w:rPr>
                <w:rFonts w:ascii="宋体" w:eastAsia="宋体" w:hAnsi="宋体" w:cs="宋体"/>
                <w:b/>
                <w:i w:val="0"/>
                <w:color w:val="000000"/>
                <w:sz w:val="14"/>
              </w:rPr>
              <w:t xml:space="preserve">249.66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325.65</w:t>
            </w:r>
          </w:p>
        </w:tc>
        <w:tc>
          <w:tcPr>
            <w:tcW w:w="1060" w:type="dxa"/>
            <w:tcBorders/>
            <w:vAlign w:val="center"/>
          </w:tcPr>
          <w:p>
            <w:pPr>
              <w:jc w:val="right"/>
            </w:pPr>
            <w:r>
              <w:rPr>
                <w:rFonts w:ascii="宋体" w:eastAsia="宋体" w:hAnsi="宋体" w:cs="宋体"/>
                <w:b w:val="0"/>
                <w:i w:val="0"/>
                <w:color w:val="000000"/>
                <w:sz w:val="14"/>
              </w:rPr>
              <w:t xml:space="preserve">75.99</w:t>
            </w:r>
          </w:p>
        </w:tc>
        <w:tc>
          <w:tcPr>
            <w:tcW w:w="1060" w:type="dxa"/>
            <w:tcBorders/>
            <w:vAlign w:val="center"/>
          </w:tcPr>
          <w:p>
            <w:pPr>
              <w:jc w:val="right"/>
            </w:pPr>
            <w:r>
              <w:rPr>
                <w:rFonts w:ascii="宋体" w:eastAsia="宋体" w:hAnsi="宋体" w:cs="宋体"/>
                <w:b w:val="0"/>
                <w:i w:val="0"/>
                <w:color w:val="000000"/>
                <w:sz w:val="14"/>
              </w:rPr>
              <w:t xml:space="preserve">249.66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325.65</w:t>
            </w:r>
          </w:p>
        </w:tc>
        <w:tc>
          <w:tcPr>
            <w:tcW w:w="1060" w:type="dxa"/>
            <w:tcBorders/>
            <w:vAlign w:val="center"/>
          </w:tcPr>
          <w:p>
            <w:pPr>
              <w:jc w:val="right"/>
            </w:pPr>
            <w:r>
              <w:rPr>
                <w:rFonts w:ascii="宋体" w:eastAsia="宋体" w:hAnsi="宋体" w:cs="宋体"/>
                <w:b w:val="0"/>
                <w:i w:val="0"/>
                <w:color w:val="000000"/>
                <w:sz w:val="14"/>
              </w:rPr>
              <w:t xml:space="preserve">75.99</w:t>
            </w:r>
          </w:p>
        </w:tc>
        <w:tc>
          <w:tcPr>
            <w:tcW w:w="1060" w:type="dxa"/>
            <w:tcBorders/>
            <w:vAlign w:val="center"/>
          </w:tcPr>
          <w:p>
            <w:pPr>
              <w:jc w:val="right"/>
            </w:pPr>
            <w:r>
              <w:rPr>
                <w:rFonts w:ascii="宋体" w:eastAsia="宋体" w:hAnsi="宋体" w:cs="宋体"/>
                <w:b w:val="0"/>
                <w:i w:val="0"/>
                <w:color w:val="000000"/>
                <w:sz w:val="14"/>
              </w:rPr>
              <w:t xml:space="preserve">249.66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75.99</w:t>
            </w:r>
          </w:p>
        </w:tc>
        <w:tc>
          <w:tcPr>
            <w:tcW w:w="1060" w:type="dxa"/>
            <w:tcBorders/>
            <w:vAlign w:val="center"/>
          </w:tcPr>
          <w:p>
            <w:pPr>
              <w:jc w:val="right"/>
            </w:pPr>
            <w:r>
              <w:rPr>
                <w:rFonts w:ascii="宋体" w:eastAsia="宋体" w:hAnsi="宋体" w:cs="宋体"/>
                <w:b w:val="0"/>
                <w:i w:val="0"/>
                <w:color w:val="000000"/>
                <w:sz w:val="14"/>
              </w:rPr>
              <w:t xml:space="preserve">75.99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249.66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249.66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11.56</w:t>
            </w:r>
          </w:p>
        </w:tc>
        <w:tc>
          <w:tcPr>
            <w:tcW w:w="1060" w:type="dxa"/>
            <w:tcBorders/>
            <w:vAlign w:val="center"/>
          </w:tcPr>
          <w:p>
            <w:pPr>
              <w:jc w:val="right"/>
            </w:pPr>
            <w:r>
              <w:rPr>
                <w:rFonts w:ascii="宋体" w:eastAsia="宋体" w:hAnsi="宋体" w:cs="宋体"/>
                <w:b w:val="0"/>
                <w:i w:val="0"/>
                <w:color w:val="000000"/>
                <w:sz w:val="14"/>
              </w:rPr>
              <w:t xml:space="preserve">11.56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11.56</w:t>
            </w:r>
          </w:p>
        </w:tc>
        <w:tc>
          <w:tcPr>
            <w:tcW w:w="1060" w:type="dxa"/>
            <w:tcBorders/>
            <w:vAlign w:val="center"/>
          </w:tcPr>
          <w:p>
            <w:pPr>
              <w:jc w:val="right"/>
            </w:pPr>
            <w:r>
              <w:rPr>
                <w:rFonts w:ascii="宋体" w:eastAsia="宋体" w:hAnsi="宋体" w:cs="宋体"/>
                <w:b w:val="0"/>
                <w:i w:val="0"/>
                <w:color w:val="000000"/>
                <w:sz w:val="14"/>
              </w:rPr>
              <w:t xml:space="preserve">11.56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11.56</w:t>
            </w:r>
          </w:p>
        </w:tc>
        <w:tc>
          <w:tcPr>
            <w:tcW w:w="1060" w:type="dxa"/>
            <w:tcBorders/>
            <w:vAlign w:val="center"/>
          </w:tcPr>
          <w:p>
            <w:pPr>
              <w:jc w:val="right"/>
            </w:pPr>
            <w:r>
              <w:rPr>
                <w:rFonts w:ascii="宋体" w:eastAsia="宋体" w:hAnsi="宋体" w:cs="宋体"/>
                <w:b w:val="0"/>
                <w:i w:val="0"/>
                <w:color w:val="000000"/>
                <w:sz w:val="14"/>
              </w:rPr>
              <w:t xml:space="preserve">11.56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9.94</w:t>
            </w:r>
          </w:p>
        </w:tc>
        <w:tc>
          <w:tcPr>
            <w:tcW w:w="1060" w:type="dxa"/>
            <w:tcBorders/>
            <w:vAlign w:val="center"/>
          </w:tcPr>
          <w:p>
            <w:pPr>
              <w:jc w:val="right"/>
            </w:pPr>
            <w:r>
              <w:rPr>
                <w:rFonts w:ascii="宋体" w:eastAsia="宋体" w:hAnsi="宋体" w:cs="宋体"/>
                <w:b w:val="0"/>
                <w:i w:val="0"/>
                <w:color w:val="000000"/>
                <w:sz w:val="14"/>
              </w:rPr>
              <w:t xml:space="preserve">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9.94</w:t>
            </w:r>
          </w:p>
        </w:tc>
        <w:tc>
          <w:tcPr>
            <w:tcW w:w="1060" w:type="dxa"/>
            <w:tcBorders/>
            <w:vAlign w:val="center"/>
          </w:tcPr>
          <w:p>
            <w:pPr>
              <w:jc w:val="right"/>
            </w:pPr>
            <w:r>
              <w:rPr>
                <w:rFonts w:ascii="宋体" w:eastAsia="宋体" w:hAnsi="宋体" w:cs="宋体"/>
                <w:b w:val="0"/>
                <w:i w:val="0"/>
                <w:color w:val="000000"/>
                <w:sz w:val="14"/>
              </w:rPr>
              <w:t xml:space="preserve">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9.94</w:t>
            </w:r>
          </w:p>
        </w:tc>
        <w:tc>
          <w:tcPr>
            <w:tcW w:w="1060" w:type="dxa"/>
            <w:tcBorders/>
            <w:vAlign w:val="center"/>
          </w:tcPr>
          <w:p>
            <w:pPr>
              <w:jc w:val="right"/>
            </w:pPr>
            <w:r>
              <w:rPr>
                <w:rFonts w:ascii="宋体" w:eastAsia="宋体" w:hAnsi="宋体" w:cs="宋体"/>
                <w:b w:val="0"/>
                <w:i w:val="0"/>
                <w:color w:val="000000"/>
                <w:sz w:val="14"/>
              </w:rPr>
              <w:t xml:space="preserve">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352.42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325.65</w:t>
            </w:r>
          </w:p>
        </w:tc>
        <w:tc>
          <w:tcPr>
            <w:tcW w:w="1100" w:type="dxa"/>
            <w:tcBorders/>
            <w:vAlign w:val="center"/>
          </w:tcPr>
          <w:p>
            <w:pPr>
              <w:jc w:val="right"/>
            </w:pPr>
            <w:r>
              <w:rPr>
                <w:rFonts w:ascii="宋体" w:eastAsia="宋体" w:hAnsi="宋体" w:cs="宋体"/>
                <w:b w:val="0"/>
                <w:i w:val="0"/>
                <w:color w:val="000000"/>
                <w:sz w:val="14"/>
              </w:rPr>
              <w:t xml:space="preserve">325.65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11.56</w:t>
            </w:r>
          </w:p>
        </w:tc>
        <w:tc>
          <w:tcPr>
            <w:tcW w:w="1100" w:type="dxa"/>
            <w:tcBorders/>
            <w:vAlign w:val="center"/>
          </w:tcPr>
          <w:p>
            <w:pPr>
              <w:jc w:val="right"/>
            </w:pPr>
            <w:r>
              <w:rPr>
                <w:rFonts w:ascii="宋体" w:eastAsia="宋体" w:hAnsi="宋体" w:cs="宋体"/>
                <w:b w:val="0"/>
                <w:i w:val="0"/>
                <w:color w:val="000000"/>
                <w:sz w:val="14"/>
              </w:rPr>
              <w:t xml:space="preserve">11.56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5.27</w:t>
            </w:r>
          </w:p>
        </w:tc>
        <w:tc>
          <w:tcPr>
            <w:tcW w:w="1100" w:type="dxa"/>
            <w:tcBorders/>
            <w:vAlign w:val="center"/>
          </w:tcPr>
          <w:p>
            <w:pPr>
              <w:jc w:val="right"/>
            </w:pPr>
            <w:r>
              <w:rPr>
                <w:rFonts w:ascii="宋体" w:eastAsia="宋体" w:hAnsi="宋体" w:cs="宋体"/>
                <w:b w:val="0"/>
                <w:i w:val="0"/>
                <w:color w:val="000000"/>
                <w:sz w:val="14"/>
              </w:rPr>
              <w:t xml:space="preserve">5.27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9.94</w:t>
            </w:r>
          </w:p>
        </w:tc>
        <w:tc>
          <w:tcPr>
            <w:tcW w:w="1100" w:type="dxa"/>
            <w:tcBorders/>
            <w:vAlign w:val="center"/>
          </w:tcPr>
          <w:p>
            <w:pPr>
              <w:jc w:val="right"/>
            </w:pPr>
            <w:r>
              <w:rPr>
                <w:rFonts w:ascii="宋体" w:eastAsia="宋体" w:hAnsi="宋体" w:cs="宋体"/>
                <w:b w:val="0"/>
                <w:i w:val="0"/>
                <w:color w:val="000000"/>
                <w:sz w:val="14"/>
              </w:rPr>
              <w:t xml:space="preserve">9.94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352.42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352.42</w:t>
            </w:r>
          </w:p>
        </w:tc>
        <w:tc>
          <w:tcPr>
            <w:tcW w:w="1100" w:type="dxa"/>
            <w:tcBorders/>
            <w:vAlign w:val="center"/>
          </w:tcPr>
          <w:p>
            <w:pPr>
              <w:jc w:val="right"/>
            </w:pPr>
            <w:r>
              <w:rPr>
                <w:rFonts w:ascii="宋体" w:eastAsia="宋体" w:hAnsi="宋体" w:cs="宋体"/>
                <w:b w:val="0"/>
                <w:i w:val="0"/>
                <w:color w:val="000000"/>
                <w:sz w:val="14"/>
              </w:rPr>
              <w:t xml:space="preserve">352.42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352.42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352.42</w:t>
            </w:r>
          </w:p>
        </w:tc>
        <w:tc>
          <w:tcPr>
            <w:tcW w:w="1100" w:type="dxa"/>
            <w:tcBorders/>
            <w:vAlign w:val="center"/>
          </w:tcPr>
          <w:p>
            <w:pPr>
              <w:jc w:val="right"/>
            </w:pPr>
            <w:r>
              <w:rPr>
                <w:rFonts w:ascii="宋体" w:eastAsia="宋体" w:hAnsi="宋体" w:cs="宋体"/>
                <w:b w:val="0"/>
                <w:i w:val="0"/>
                <w:color w:val="000000"/>
                <w:sz w:val="14"/>
              </w:rPr>
              <w:t xml:space="preserve">352.42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352.42</w:t>
            </w:r>
          </w:p>
        </w:tc>
        <w:tc>
          <w:tcPr>
            <w:tcW w:w="1780" w:type="dxa"/>
            <w:tcBorders/>
            <w:vAlign w:val="center"/>
          </w:tcPr>
          <w:p>
            <w:pPr>
              <w:jc w:val="right"/>
            </w:pPr>
            <w:r>
              <w:rPr>
                <w:rFonts w:ascii="宋体" w:eastAsia="宋体" w:hAnsi="宋体" w:cs="宋体"/>
                <w:b/>
                <w:i w:val="0"/>
                <w:color w:val="000000"/>
                <w:sz w:val="18"/>
              </w:rPr>
              <w:t xml:space="preserve">102.76</w:t>
            </w:r>
          </w:p>
        </w:tc>
        <w:tc>
          <w:tcPr>
            <w:tcW w:w="1772" w:type="dxa"/>
            <w:tcBorders/>
            <w:vAlign w:val="center"/>
          </w:tcPr>
          <w:p>
            <w:pPr>
              <w:jc w:val="right"/>
            </w:pPr>
            <w:r>
              <w:rPr>
                <w:rFonts w:ascii="宋体" w:eastAsia="宋体" w:hAnsi="宋体" w:cs="宋体"/>
                <w:b/>
                <w:i w:val="0"/>
                <w:color w:val="000000"/>
                <w:sz w:val="18"/>
              </w:rPr>
              <w:t xml:space="preserve">249.66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325.65</w:t>
            </w:r>
          </w:p>
        </w:tc>
        <w:tc>
          <w:tcPr>
            <w:tcW w:w="1780" w:type="dxa"/>
            <w:tcBorders/>
            <w:vAlign w:val="center"/>
          </w:tcPr>
          <w:p>
            <w:pPr>
              <w:jc w:val="right"/>
            </w:pPr>
            <w:r>
              <w:rPr>
                <w:rFonts w:ascii="宋体" w:eastAsia="宋体" w:hAnsi="宋体" w:cs="宋体"/>
                <w:b w:val="0"/>
                <w:i w:val="0"/>
                <w:color w:val="000000"/>
                <w:sz w:val="18"/>
              </w:rPr>
              <w:t xml:space="preserve">75.99</w:t>
            </w:r>
          </w:p>
        </w:tc>
        <w:tc>
          <w:tcPr>
            <w:tcW w:w="1772" w:type="dxa"/>
            <w:tcBorders/>
            <w:vAlign w:val="center"/>
          </w:tcPr>
          <w:p>
            <w:pPr>
              <w:jc w:val="right"/>
            </w:pPr>
            <w:r>
              <w:rPr>
                <w:rFonts w:ascii="宋体" w:eastAsia="宋体" w:hAnsi="宋体" w:cs="宋体"/>
                <w:b w:val="0"/>
                <w:i w:val="0"/>
                <w:color w:val="000000"/>
                <w:sz w:val="18"/>
              </w:rPr>
              <w:t xml:space="preserve">249.66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325.65</w:t>
            </w:r>
          </w:p>
        </w:tc>
        <w:tc>
          <w:tcPr>
            <w:tcW w:w="1780" w:type="dxa"/>
            <w:tcBorders/>
            <w:vAlign w:val="center"/>
          </w:tcPr>
          <w:p>
            <w:pPr>
              <w:jc w:val="right"/>
            </w:pPr>
            <w:r>
              <w:rPr>
                <w:rFonts w:ascii="宋体" w:eastAsia="宋体" w:hAnsi="宋体" w:cs="宋体"/>
                <w:b w:val="0"/>
                <w:i w:val="0"/>
                <w:color w:val="000000"/>
                <w:sz w:val="18"/>
              </w:rPr>
              <w:t xml:space="preserve">75.99</w:t>
            </w:r>
          </w:p>
        </w:tc>
        <w:tc>
          <w:tcPr>
            <w:tcW w:w="1772" w:type="dxa"/>
            <w:tcBorders/>
            <w:vAlign w:val="center"/>
          </w:tcPr>
          <w:p>
            <w:pPr>
              <w:jc w:val="right"/>
            </w:pPr>
            <w:r>
              <w:rPr>
                <w:rFonts w:ascii="宋体" w:eastAsia="宋体" w:hAnsi="宋体" w:cs="宋体"/>
                <w:b w:val="0"/>
                <w:i w:val="0"/>
                <w:color w:val="000000"/>
                <w:sz w:val="18"/>
              </w:rPr>
              <w:t xml:space="preserve">249.66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75.99</w:t>
            </w:r>
          </w:p>
        </w:tc>
        <w:tc>
          <w:tcPr>
            <w:tcW w:w="1780" w:type="dxa"/>
            <w:tcBorders/>
            <w:vAlign w:val="center"/>
          </w:tcPr>
          <w:p>
            <w:pPr>
              <w:jc w:val="right"/>
            </w:pPr>
            <w:r>
              <w:rPr>
                <w:rFonts w:ascii="宋体" w:eastAsia="宋体" w:hAnsi="宋体" w:cs="宋体"/>
                <w:b w:val="0"/>
                <w:i w:val="0"/>
                <w:color w:val="000000"/>
                <w:sz w:val="18"/>
              </w:rPr>
              <w:t xml:space="preserve">75.99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249.66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249.66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11.56</w:t>
            </w:r>
          </w:p>
        </w:tc>
        <w:tc>
          <w:tcPr>
            <w:tcW w:w="1780" w:type="dxa"/>
            <w:tcBorders/>
            <w:vAlign w:val="center"/>
          </w:tcPr>
          <w:p>
            <w:pPr>
              <w:jc w:val="right"/>
            </w:pPr>
            <w:r>
              <w:rPr>
                <w:rFonts w:ascii="宋体" w:eastAsia="宋体" w:hAnsi="宋体" w:cs="宋体"/>
                <w:b w:val="0"/>
                <w:i w:val="0"/>
                <w:color w:val="000000"/>
                <w:sz w:val="18"/>
              </w:rPr>
              <w:t xml:space="preserve">11.56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11.56</w:t>
            </w:r>
          </w:p>
        </w:tc>
        <w:tc>
          <w:tcPr>
            <w:tcW w:w="1780" w:type="dxa"/>
            <w:tcBorders/>
            <w:vAlign w:val="center"/>
          </w:tcPr>
          <w:p>
            <w:pPr>
              <w:jc w:val="right"/>
            </w:pPr>
            <w:r>
              <w:rPr>
                <w:rFonts w:ascii="宋体" w:eastAsia="宋体" w:hAnsi="宋体" w:cs="宋体"/>
                <w:b w:val="0"/>
                <w:i w:val="0"/>
                <w:color w:val="000000"/>
                <w:sz w:val="18"/>
              </w:rPr>
              <w:t xml:space="preserve">11.56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11.56</w:t>
            </w:r>
          </w:p>
        </w:tc>
        <w:tc>
          <w:tcPr>
            <w:tcW w:w="1780" w:type="dxa"/>
            <w:tcBorders/>
            <w:vAlign w:val="center"/>
          </w:tcPr>
          <w:p>
            <w:pPr>
              <w:jc w:val="right"/>
            </w:pPr>
            <w:r>
              <w:rPr>
                <w:rFonts w:ascii="宋体" w:eastAsia="宋体" w:hAnsi="宋体" w:cs="宋体"/>
                <w:b w:val="0"/>
                <w:i w:val="0"/>
                <w:color w:val="000000"/>
                <w:sz w:val="18"/>
              </w:rPr>
              <w:t xml:space="preserve">11.56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9.94</w:t>
            </w:r>
          </w:p>
        </w:tc>
        <w:tc>
          <w:tcPr>
            <w:tcW w:w="1780" w:type="dxa"/>
            <w:tcBorders/>
            <w:vAlign w:val="center"/>
          </w:tcPr>
          <w:p>
            <w:pPr>
              <w:jc w:val="right"/>
            </w:pPr>
            <w:r>
              <w:rPr>
                <w:rFonts w:ascii="宋体" w:eastAsia="宋体" w:hAnsi="宋体" w:cs="宋体"/>
                <w:b w:val="0"/>
                <w:i w:val="0"/>
                <w:color w:val="000000"/>
                <w:sz w:val="18"/>
              </w:rPr>
              <w:t xml:space="preserve">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9.94</w:t>
            </w:r>
          </w:p>
        </w:tc>
        <w:tc>
          <w:tcPr>
            <w:tcW w:w="1780" w:type="dxa"/>
            <w:tcBorders/>
            <w:vAlign w:val="center"/>
          </w:tcPr>
          <w:p>
            <w:pPr>
              <w:jc w:val="right"/>
            </w:pPr>
            <w:r>
              <w:rPr>
                <w:rFonts w:ascii="宋体" w:eastAsia="宋体" w:hAnsi="宋体" w:cs="宋体"/>
                <w:b w:val="0"/>
                <w:i w:val="0"/>
                <w:color w:val="000000"/>
                <w:sz w:val="18"/>
              </w:rPr>
              <w:t xml:space="preserve">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9.94</w:t>
            </w:r>
          </w:p>
        </w:tc>
        <w:tc>
          <w:tcPr>
            <w:tcW w:w="1780" w:type="dxa"/>
            <w:tcBorders/>
            <w:vAlign w:val="center"/>
          </w:tcPr>
          <w:p>
            <w:pPr>
              <w:jc w:val="right"/>
            </w:pPr>
            <w:r>
              <w:rPr>
                <w:rFonts w:ascii="宋体" w:eastAsia="宋体" w:hAnsi="宋体" w:cs="宋体"/>
                <w:b w:val="0"/>
                <w:i w:val="0"/>
                <w:color w:val="000000"/>
                <w:sz w:val="18"/>
              </w:rPr>
              <w:t xml:space="preserve">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96.45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6.31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27.76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2.06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2.20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3.30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35.91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11.56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3.74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5.27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9.94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96.45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6.31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单位：辽宁省沈阳市浑南区纪委监委综合保障中心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005002沈阳市浑南区纪委监委综合保障中心-210112000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高质量完成本年度预算，减少经费结余</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高质量的完成本年度预算，减少了预算经费结余</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公平公正</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举报移送立案率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被保障人员满意度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统筹推进纪检监察体制改革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94.69%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物业及食堂开办设备购置，主要用于食堂前厅及后厨设备设施购买；物业清洁设备购买。从而保障了纪委办案工作正常运转。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物业服务包括：园区清洁、清扫，会议服务、工程运维、绿化基础养护、餐饮供应、安全保卫，保障了纪委办案工作正常运转。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承担物业管理费面积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切实贯彻落实中纪委、省市纪委和区委对纪检监察工作的要求，确保文件传输、信息上传工作的及时性、安全性，对涉密网络、保密设备进行维护，保证内部局域网络正常安全运营。保障纪委办案工作正常运转。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食堂运行费、设备维修费及杂费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贯彻落实中纪委、省市纪委和区委对纪检监察工作的要求，完成保障纪委办案工作正常运转的绩效目标。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68.01%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确实贯彻落实中纪委、省市纪委和区委对纪检监察工作的要求，保障了纪委办案工作正常运转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17.80076744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办公楼及园区道路维修改造、绿化维修维护，办案区场所维修改造，从而保障纪委办案工作正常运转。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园区基础设施运行维护费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搬家费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搬家费用用于区纪委监委、区委巡察办从区政府搬到白塔基地等费用，切实保障了纪委办案工作正常运转。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99.23</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