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中共辽宁省沈阳市浑南区委统一战线工作部（本级）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中共辽宁省沈阳市浑南区委统一战线工作部（本级）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中共辽宁省沈阳市浑南区委统一战线工作部（本级）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中共辽宁省沈阳市浑南区委统一战线工作部（本级）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中共辽宁省沈阳市浑南区委统一战线工作部（本级）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中共辽宁省沈阳市浑南区委统一战线工作部（本级）概况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（一）贯彻执行上级党委关于统一战线的方针、政策；向区委反映统一战线全面情况，提出开展统战工作的意见和建议；检查统战政策执行情况，协调统一战线各方面的关系。</w:t>
        <w:br/>
        <w:t xml:space="preserve">    （二）负责联系各民主党派、区工商联和无党派人士；贯彻党领导的多党合作和政治协商制度及对民主党派的方针、政策，发挥民主党派参政议政和民主监督的作用；协助市委统战部做好区内各民主党派基层组织及其成员工作。</w:t>
        <w:br/>
        <w:t xml:space="preserve">    （三）负责党外人士的政治安排；协助区委组织部做好区管党外领导干部培养、考察、选拔、推荐和安排工作，做好党外后备干部和新的代表人士队伍的建设工作。</w:t>
        <w:br/>
        <w:t xml:space="preserve">    （四）负责开展海外统一战线工作；联系香港、澳门和海外有关社团及代表人士；归口管理涉台相关工作。</w:t>
        <w:br/>
        <w:t xml:space="preserve">    （五）调查、研究并反映全区非公有制经济代表人士的情况；团结、帮助、引导、教育非公有制经济代表人士，积极开展思想政治工作。</w:t>
        <w:br/>
        <w:t xml:space="preserve">    （六）负责协调有关民族、宗教工作的重大问题；协助有关部门做好少数民族干部的培养和举荐工作；</w:t>
        <w:br/>
        <w:t xml:space="preserve">    （七）负责指导乡街统战工作；协调政府各有关部门的统战工作；联系、指导区工商联工作。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中共辽宁省沈阳市浑南区委统一战线工作部（本级）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中共浑南区委统战部本级，本单位无下设机构。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256.12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256.12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256.12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减少97.13万元，降低27.50%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2024年因未缴纳2024年高比例公积金，无此项收入，2024年无抚恤金收入，因压缩经费，项目经费拨款也减少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256.12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240.99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94.09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工资福利支出216.27万元；商品和服务支出23.07万元；对个人和家庭的补助1.64万元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15.14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5.91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主要包括台湾事务、统战事务、培训等业务支出。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减少97.13万元，降低27.50%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未缴纳2024年高比例公积金、未发生抚恤金支出、统战事务支出、民族事务支出，以上资金均减少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256.12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240.99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15.14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减少97.13万元，降低27.50%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未缴纳2024年高比例公积金、未发生抚恤金支出、统战事务支出、民族事务支出，以上资金均减少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55.82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84.43</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8.73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2024年度一般公共预算财政拨款支出256.12万元。按支出功能分类科目分，包括：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1.一般公共服务支出196.41万元，具体包括：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（1）一般公共服务支出（类）港澳台事务（款）台湾事务（项）0.01万元,主要是印刷工作宣传用材料等支出，完成年初预算的0.33%，决算数与年初预算数存在差异的主要原因是台侨、台办业务支出的减少。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统战事务（款）行政运行（项）181.58万元,主要是工资福利支出、商品和服务支出、对个人和家庭的补助等支出，完成年初预算的83.30%，决算数与年初预算数存在差异的主要原因是人员经费支出的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统战事务（款）一般行政管理事务（项）12.90万元,主要是统战事务管理专项业务经费、走访慰问费、雇员经费等支出，完成年初预算的10.84%，决算数与年初预算数存在差异的主要原因是压缩经费，业务经费开支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（4）一般公共服务支出（类）统战事务（款）宗教事务（项）1.92万元,主要是宗教工作专项业务经费等支出，完成年初预算的14.77%，决算数与年初预算数存在差异的主要原因是宗教工作专项业务经费减少。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2.教育支出0.31万元，具体包括：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（1）教育支出（类）进修及培训（款）培训支出（项）0.31万元,主要是培训费等支出，完成年初预算的2.15%，决算数与年初预算数存在差异的主要原因是培训经费减少。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3.社会保障和就业支出25.05万元，具体包括：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（1）社会保障和就业支出（类）行政事业单位养老支出（款）行政单位离退休（项）1.64万元,主要是退休人员采暖费等支出，完成年初预算的100%，决算数与年初预算数存在差异的主要原因是无差异。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23.41万元,主要是养老保险等支出，完成年初预算的98.73%，决算数与年初预算数存在差异的主要原因是养老保险缴费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4.卫生健康支出8.02万元，具体包括：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（1）卫生健康支出（类）行政事业单位医疗（款）行政单位医疗（项）8.02万元,主要是医疗保险等支出，完成年初预算的96.74%，决算数与年初预算数存在差异的主要原因是公务员医疗补助未缴费。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5.住房保障支出26.34万元，具体包括：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（1）住房保障支出（类）住房改革支出（款）住房公积金（项）26.34万元,主要是缴纳单位职工住房公积金等支出，完成年初预算的78.16%，决算数与年初预算数存在差异的主要原因是公积金高比例未缴费。</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零增加</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240.98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217.91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23.07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23.07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比上年增加2.53万元，增长12.32%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补发了2023年四季度的公务交通补贴、通讯补助</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具体而言，本年度我部门共组织对10个项目实施了绩效评价。从预算资金来源看，涉及一般公共预算的项目10个，涉及政府性基金预算的项目0个，涉及国有资本经营预算的项目0个。</w:t>
        <w:br/>
        <w:t xml:space="preserve">    上述评价工作共涉及财政资金15.14万元。其中，一般公共预算资金15.14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0个；得分在60分（含）至80分、等级为“中”的项目有1；得分在60分以下、等级为“差”的项目有7个。各项目自评发现，部分项目存在预算执行进度偏慢、个别效益指标未能完全达成等，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256.12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196.40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0.31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25.05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8.02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26.34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256.12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256.12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256.12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256.12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256.12</w:t>
            </w:r>
          </w:p>
        </w:tc>
        <w:tc>
          <w:tcPr>
            <w:tcW w:w="960" w:type="dxa"/>
            <w:tcBorders/>
            <w:vAlign w:val="center"/>
          </w:tcPr>
          <w:p>
            <w:pPr>
              <w:jc w:val="right"/>
            </w:pPr>
            <w:r>
              <w:rPr>
                <w:rFonts w:ascii="宋体" w:eastAsia="宋体" w:hAnsi="宋体" w:cs="宋体"/>
                <w:b/>
                <w:i w:val="0"/>
                <w:color w:val="000000"/>
                <w:sz w:val="13"/>
              </w:rPr>
              <w:t xml:space="preserve">256.12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196.41</w:t>
            </w:r>
          </w:p>
        </w:tc>
        <w:tc>
          <w:tcPr>
            <w:tcW w:w="960" w:type="dxa"/>
            <w:tcBorders/>
            <w:vAlign w:val="center"/>
          </w:tcPr>
          <w:p>
            <w:pPr>
              <w:jc w:val="right"/>
            </w:pPr>
            <w:r>
              <w:rPr>
                <w:rFonts w:ascii="宋体" w:eastAsia="宋体" w:hAnsi="宋体" w:cs="宋体"/>
                <w:b w:val="0"/>
                <w:i w:val="0"/>
                <w:color w:val="000000"/>
                <w:sz w:val="13"/>
              </w:rPr>
              <w:t xml:space="preserve">196.41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20125</w:t>
            </w:r>
          </w:p>
        </w:tc>
        <w:tc>
          <w:tcPr>
            <w:tcW w:w="3200" w:type="dxa"/>
            <w:tcBorders/>
            <w:vAlign w:val="center"/>
          </w:tcPr>
          <w:p>
            <w:pPr>
              <w:jc w:val="left"/>
            </w:pPr>
            <w:r>
              <w:rPr>
                <w:rFonts w:ascii="宋体" w:eastAsia="宋体" w:hAnsi="宋体" w:cs="宋体"/>
                <w:b w:val="0"/>
                <w:i w:val="0"/>
                <w:color w:val="000000"/>
                <w:sz w:val="13"/>
              </w:rPr>
              <w:t xml:space="preserve">港澳台事务</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2012505</w:t>
            </w:r>
          </w:p>
        </w:tc>
        <w:tc>
          <w:tcPr>
            <w:tcW w:w="3200" w:type="dxa"/>
            <w:tcBorders/>
            <w:vAlign w:val="center"/>
          </w:tcPr>
          <w:p>
            <w:pPr>
              <w:jc w:val="left"/>
            </w:pPr>
            <w:r>
              <w:rPr>
                <w:rFonts w:ascii="宋体" w:eastAsia="宋体" w:hAnsi="宋体" w:cs="宋体"/>
                <w:b w:val="0"/>
                <w:i w:val="0"/>
                <w:color w:val="000000"/>
                <w:sz w:val="13"/>
              </w:rPr>
              <w:t xml:space="preserve">台湾事务</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jc w:val="right"/>
            </w:pPr>
            <w:r>
              <w:rPr>
                <w:rFonts w:ascii="宋体" w:eastAsia="宋体" w:hAnsi="宋体" w:cs="宋体"/>
                <w:b w:val="0"/>
                <w:i w:val="0"/>
                <w:color w:val="000000"/>
                <w:sz w:val="13"/>
              </w:rPr>
              <w:t xml:space="preserve">0.01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w:t>
            </w:r>
          </w:p>
        </w:tc>
        <w:tc>
          <w:tcPr>
            <w:tcW w:w="3200" w:type="dxa"/>
            <w:tcBorders/>
            <w:vAlign w:val="center"/>
          </w:tcPr>
          <w:p>
            <w:pPr>
              <w:jc w:val="left"/>
            </w:pPr>
            <w:r>
              <w:rPr>
                <w:rFonts w:ascii="宋体" w:eastAsia="宋体" w:hAnsi="宋体" w:cs="宋体"/>
                <w:b w:val="0"/>
                <w:i w:val="0"/>
                <w:color w:val="000000"/>
                <w:sz w:val="13"/>
              </w:rPr>
              <w:t xml:space="preserve">统战事务</w:t>
            </w:r>
          </w:p>
        </w:tc>
        <w:tc>
          <w:tcPr>
            <w:tcW w:w="960" w:type="dxa"/>
            <w:tcBorders/>
            <w:vAlign w:val="center"/>
          </w:tcPr>
          <w:p>
            <w:pPr>
              <w:jc w:val="right"/>
            </w:pPr>
            <w:r>
              <w:rPr>
                <w:rFonts w:ascii="宋体" w:eastAsia="宋体" w:hAnsi="宋体" w:cs="宋体"/>
                <w:b w:val="0"/>
                <w:i w:val="0"/>
                <w:color w:val="000000"/>
                <w:sz w:val="13"/>
              </w:rPr>
              <w:t xml:space="preserve">196.40</w:t>
            </w:r>
          </w:p>
        </w:tc>
        <w:tc>
          <w:tcPr>
            <w:tcW w:w="960" w:type="dxa"/>
            <w:tcBorders/>
            <w:vAlign w:val="center"/>
          </w:tcPr>
          <w:p>
            <w:pPr>
              <w:jc w:val="right"/>
            </w:pPr>
            <w:r>
              <w:rPr>
                <w:rFonts w:ascii="宋体" w:eastAsia="宋体" w:hAnsi="宋体" w:cs="宋体"/>
                <w:b w:val="0"/>
                <w:i w:val="0"/>
                <w:color w:val="000000"/>
                <w:sz w:val="13"/>
              </w:rPr>
              <w:t xml:space="preserve">196.40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181.58</w:t>
            </w:r>
          </w:p>
        </w:tc>
        <w:tc>
          <w:tcPr>
            <w:tcW w:w="960" w:type="dxa"/>
            <w:tcBorders/>
            <w:vAlign w:val="center"/>
          </w:tcPr>
          <w:p>
            <w:pPr>
              <w:jc w:val="right"/>
            </w:pPr>
            <w:r>
              <w:rPr>
                <w:rFonts w:ascii="宋体" w:eastAsia="宋体" w:hAnsi="宋体" w:cs="宋体"/>
                <w:b w:val="0"/>
                <w:i w:val="0"/>
                <w:color w:val="000000"/>
                <w:sz w:val="13"/>
              </w:rPr>
              <w:t xml:space="preserve">181.58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jc w:val="right"/>
            </w:pPr>
            <w:r>
              <w:rPr>
                <w:rFonts w:ascii="宋体" w:eastAsia="宋体" w:hAnsi="宋体" w:cs="宋体"/>
                <w:b w:val="0"/>
                <w:i w:val="0"/>
                <w:color w:val="000000"/>
                <w:sz w:val="13"/>
              </w:rPr>
              <w:t xml:space="preserve">12.90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2013404</w:t>
            </w:r>
          </w:p>
        </w:tc>
        <w:tc>
          <w:tcPr>
            <w:tcW w:w="3200" w:type="dxa"/>
            <w:tcBorders/>
            <w:vAlign w:val="center"/>
          </w:tcPr>
          <w:p>
            <w:pPr>
              <w:jc w:val="left"/>
            </w:pPr>
            <w:r>
              <w:rPr>
                <w:rFonts w:ascii="宋体" w:eastAsia="宋体" w:hAnsi="宋体" w:cs="宋体"/>
                <w:b w:val="0"/>
                <w:i w:val="0"/>
                <w:color w:val="000000"/>
                <w:sz w:val="13"/>
              </w:rPr>
              <w:t xml:space="preserve">宗教事务</w:t>
            </w:r>
          </w:p>
        </w:tc>
        <w:tc>
          <w:tcPr>
            <w:tcW w:w="960" w:type="dxa"/>
            <w:tcBorders/>
            <w:vAlign w:val="center"/>
          </w:tcPr>
          <w:p>
            <w:pPr>
              <w:jc w:val="right"/>
            </w:pPr>
            <w:r>
              <w:rPr>
                <w:rFonts w:ascii="宋体" w:eastAsia="宋体" w:hAnsi="宋体" w:cs="宋体"/>
                <w:b w:val="0"/>
                <w:i w:val="0"/>
                <w:color w:val="000000"/>
                <w:sz w:val="13"/>
              </w:rPr>
              <w:t xml:space="preserve">1.92</w:t>
            </w:r>
          </w:p>
        </w:tc>
        <w:tc>
          <w:tcPr>
            <w:tcW w:w="960" w:type="dxa"/>
            <w:tcBorders/>
            <w:vAlign w:val="center"/>
          </w:tcPr>
          <w:p>
            <w:pPr>
              <w:jc w:val="right"/>
            </w:pPr>
            <w:r>
              <w:rPr>
                <w:rFonts w:ascii="宋体" w:eastAsia="宋体" w:hAnsi="宋体" w:cs="宋体"/>
                <w:b w:val="0"/>
                <w:i w:val="0"/>
                <w:color w:val="000000"/>
                <w:sz w:val="13"/>
              </w:rPr>
              <w:t xml:space="preserve">1.92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jc w:val="right"/>
            </w:pPr>
            <w:r>
              <w:rPr>
                <w:rFonts w:ascii="宋体" w:eastAsia="宋体" w:hAnsi="宋体" w:cs="宋体"/>
                <w:b w:val="0"/>
                <w:i w:val="0"/>
                <w:color w:val="000000"/>
                <w:sz w:val="13"/>
              </w:rPr>
              <w:t xml:space="preserve">0.31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25.05</w:t>
            </w:r>
          </w:p>
        </w:tc>
        <w:tc>
          <w:tcPr>
            <w:tcW w:w="960" w:type="dxa"/>
            <w:tcBorders/>
            <w:vAlign w:val="center"/>
          </w:tcPr>
          <w:p>
            <w:pPr>
              <w:jc w:val="right"/>
            </w:pPr>
            <w:r>
              <w:rPr>
                <w:rFonts w:ascii="宋体" w:eastAsia="宋体" w:hAnsi="宋体" w:cs="宋体"/>
                <w:b w:val="0"/>
                <w:i w:val="0"/>
                <w:color w:val="000000"/>
                <w:sz w:val="13"/>
              </w:rPr>
              <w:t xml:space="preserve">25.05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25.05</w:t>
            </w:r>
          </w:p>
        </w:tc>
        <w:tc>
          <w:tcPr>
            <w:tcW w:w="960" w:type="dxa"/>
            <w:tcBorders/>
            <w:vAlign w:val="center"/>
          </w:tcPr>
          <w:p>
            <w:pPr>
              <w:jc w:val="right"/>
            </w:pPr>
            <w:r>
              <w:rPr>
                <w:rFonts w:ascii="宋体" w:eastAsia="宋体" w:hAnsi="宋体" w:cs="宋体"/>
                <w:b w:val="0"/>
                <w:i w:val="0"/>
                <w:color w:val="000000"/>
                <w:sz w:val="13"/>
              </w:rPr>
              <w:t xml:space="preserve">25.05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1.64</w:t>
            </w:r>
          </w:p>
        </w:tc>
        <w:tc>
          <w:tcPr>
            <w:tcW w:w="960" w:type="dxa"/>
            <w:tcBorders/>
            <w:vAlign w:val="center"/>
          </w:tcPr>
          <w:p>
            <w:pPr>
              <w:jc w:val="right"/>
            </w:pPr>
            <w:r>
              <w:rPr>
                <w:rFonts w:ascii="宋体" w:eastAsia="宋体" w:hAnsi="宋体" w:cs="宋体"/>
                <w:b w:val="0"/>
                <w:i w:val="0"/>
                <w:color w:val="000000"/>
                <w:sz w:val="13"/>
              </w:rPr>
              <w:t xml:space="preserve">1.64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23.41</w:t>
            </w:r>
          </w:p>
        </w:tc>
        <w:tc>
          <w:tcPr>
            <w:tcW w:w="960" w:type="dxa"/>
            <w:tcBorders/>
            <w:vAlign w:val="center"/>
          </w:tcPr>
          <w:p>
            <w:pPr>
              <w:jc w:val="right"/>
            </w:pPr>
            <w:r>
              <w:rPr>
                <w:rFonts w:ascii="宋体" w:eastAsia="宋体" w:hAnsi="宋体" w:cs="宋体"/>
                <w:b w:val="0"/>
                <w:i w:val="0"/>
                <w:color w:val="000000"/>
                <w:sz w:val="13"/>
              </w:rPr>
              <w:t xml:space="preserve">23.41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jc w:val="right"/>
            </w:pPr>
            <w:r>
              <w:rPr>
                <w:rFonts w:ascii="宋体" w:eastAsia="宋体" w:hAnsi="宋体" w:cs="宋体"/>
                <w:b w:val="0"/>
                <w:i w:val="0"/>
                <w:color w:val="000000"/>
                <w:sz w:val="13"/>
              </w:rPr>
              <w:t xml:space="preserve">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26.34</w:t>
            </w:r>
          </w:p>
        </w:tc>
        <w:tc>
          <w:tcPr>
            <w:tcW w:w="960" w:type="dxa"/>
            <w:tcBorders/>
            <w:vAlign w:val="center"/>
          </w:tcPr>
          <w:p>
            <w:pPr>
              <w:jc w:val="right"/>
            </w:pPr>
            <w:r>
              <w:rPr>
                <w:rFonts w:ascii="宋体" w:eastAsia="宋体" w:hAnsi="宋体" w:cs="宋体"/>
                <w:b w:val="0"/>
                <w:i w:val="0"/>
                <w:color w:val="000000"/>
                <w:sz w:val="13"/>
              </w:rPr>
              <w:t xml:space="preserve">26.34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26.34</w:t>
            </w:r>
          </w:p>
        </w:tc>
        <w:tc>
          <w:tcPr>
            <w:tcW w:w="960" w:type="dxa"/>
            <w:tcBorders/>
            <w:vAlign w:val="center"/>
          </w:tcPr>
          <w:p>
            <w:pPr>
              <w:jc w:val="right"/>
            </w:pPr>
            <w:r>
              <w:rPr>
                <w:rFonts w:ascii="宋体" w:eastAsia="宋体" w:hAnsi="宋体" w:cs="宋体"/>
                <w:b w:val="0"/>
                <w:i w:val="0"/>
                <w:color w:val="000000"/>
                <w:sz w:val="13"/>
              </w:rPr>
              <w:t xml:space="preserve">26.34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26.34</w:t>
            </w:r>
          </w:p>
        </w:tc>
        <w:tc>
          <w:tcPr>
            <w:tcW w:w="960" w:type="dxa"/>
            <w:tcBorders/>
            <w:vAlign w:val="center"/>
          </w:tcPr>
          <w:p>
            <w:pPr>
              <w:jc w:val="right"/>
            </w:pPr>
            <w:r>
              <w:rPr>
                <w:rFonts w:ascii="宋体" w:eastAsia="宋体" w:hAnsi="宋体" w:cs="宋体"/>
                <w:b w:val="0"/>
                <w:i w:val="0"/>
                <w:color w:val="000000"/>
                <w:sz w:val="13"/>
              </w:rPr>
              <w:t xml:space="preserve">26.34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256.12</w:t>
            </w:r>
          </w:p>
        </w:tc>
        <w:tc>
          <w:tcPr>
            <w:tcW w:w="1060" w:type="dxa"/>
            <w:tcBorders/>
            <w:vAlign w:val="center"/>
          </w:tcPr>
          <w:p>
            <w:pPr>
              <w:jc w:val="right"/>
            </w:pPr>
            <w:r>
              <w:rPr>
                <w:rFonts w:ascii="宋体" w:eastAsia="宋体" w:hAnsi="宋体" w:cs="宋体"/>
                <w:b/>
                <w:i w:val="0"/>
                <w:color w:val="000000"/>
                <w:sz w:val="14"/>
              </w:rPr>
              <w:t xml:space="preserve">240.99</w:t>
            </w:r>
          </w:p>
        </w:tc>
        <w:tc>
          <w:tcPr>
            <w:tcW w:w="1060" w:type="dxa"/>
            <w:tcBorders/>
            <w:vAlign w:val="center"/>
          </w:tcPr>
          <w:p>
            <w:pPr>
              <w:jc w:val="right"/>
            </w:pPr>
            <w:r>
              <w:rPr>
                <w:rFonts w:ascii="宋体" w:eastAsia="宋体" w:hAnsi="宋体" w:cs="宋体"/>
                <w:b/>
                <w:i w:val="0"/>
                <w:color w:val="000000"/>
                <w:sz w:val="14"/>
              </w:rPr>
              <w:t xml:space="preserve">15.14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196.41</w:t>
            </w:r>
          </w:p>
        </w:tc>
        <w:tc>
          <w:tcPr>
            <w:tcW w:w="1060" w:type="dxa"/>
            <w:tcBorders/>
            <w:vAlign w:val="center"/>
          </w:tcPr>
          <w:p>
            <w:pPr>
              <w:jc w:val="right"/>
            </w:pPr>
            <w:r>
              <w:rPr>
                <w:rFonts w:ascii="宋体" w:eastAsia="宋体" w:hAnsi="宋体" w:cs="宋体"/>
                <w:b w:val="0"/>
                <w:i w:val="0"/>
                <w:color w:val="000000"/>
                <w:sz w:val="14"/>
              </w:rPr>
              <w:t xml:space="preserve">181.58</w:t>
            </w:r>
          </w:p>
        </w:tc>
        <w:tc>
          <w:tcPr>
            <w:tcW w:w="1060" w:type="dxa"/>
            <w:tcBorders/>
            <w:vAlign w:val="center"/>
          </w:tcPr>
          <w:p>
            <w:pPr>
              <w:jc w:val="right"/>
            </w:pPr>
            <w:r>
              <w:rPr>
                <w:rFonts w:ascii="宋体" w:eastAsia="宋体" w:hAnsi="宋体" w:cs="宋体"/>
                <w:b w:val="0"/>
                <w:i w:val="0"/>
                <w:color w:val="000000"/>
                <w:sz w:val="14"/>
              </w:rPr>
              <w:t xml:space="preserve">14.83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20125</w:t>
            </w:r>
          </w:p>
        </w:tc>
        <w:tc>
          <w:tcPr>
            <w:tcW w:w="3440" w:type="dxa"/>
            <w:tcBorders/>
            <w:vAlign w:val="center"/>
          </w:tcPr>
          <w:p>
            <w:pPr>
              <w:jc w:val="left"/>
            </w:pPr>
            <w:r>
              <w:rPr>
                <w:rFonts w:ascii="宋体" w:eastAsia="宋体" w:hAnsi="宋体" w:cs="宋体"/>
                <w:b w:val="0"/>
                <w:i w:val="0"/>
                <w:color w:val="000000"/>
                <w:sz w:val="14"/>
              </w:rPr>
              <w:t xml:space="preserve">港澳台事务</w:t>
            </w: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2012505</w:t>
            </w:r>
          </w:p>
        </w:tc>
        <w:tc>
          <w:tcPr>
            <w:tcW w:w="3440" w:type="dxa"/>
            <w:tcBorders/>
            <w:vAlign w:val="center"/>
          </w:tcPr>
          <w:p>
            <w:pPr>
              <w:jc w:val="left"/>
            </w:pPr>
            <w:r>
              <w:rPr>
                <w:rFonts w:ascii="宋体" w:eastAsia="宋体" w:hAnsi="宋体" w:cs="宋体"/>
                <w:b w:val="0"/>
                <w:i w:val="0"/>
                <w:color w:val="000000"/>
                <w:sz w:val="14"/>
              </w:rPr>
              <w:t xml:space="preserve">台湾事务</w:t>
            </w: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w:t>
            </w:r>
          </w:p>
        </w:tc>
        <w:tc>
          <w:tcPr>
            <w:tcW w:w="3440" w:type="dxa"/>
            <w:tcBorders/>
            <w:vAlign w:val="center"/>
          </w:tcPr>
          <w:p>
            <w:pPr>
              <w:jc w:val="left"/>
            </w:pPr>
            <w:r>
              <w:rPr>
                <w:rFonts w:ascii="宋体" w:eastAsia="宋体" w:hAnsi="宋体" w:cs="宋体"/>
                <w:b w:val="0"/>
                <w:i w:val="0"/>
                <w:color w:val="000000"/>
                <w:sz w:val="14"/>
              </w:rPr>
              <w:t xml:space="preserve">统战事务</w:t>
            </w:r>
          </w:p>
        </w:tc>
        <w:tc>
          <w:tcPr>
            <w:tcW w:w="1060" w:type="dxa"/>
            <w:tcBorders/>
            <w:vAlign w:val="center"/>
          </w:tcPr>
          <w:p>
            <w:pPr>
              <w:jc w:val="right"/>
            </w:pPr>
            <w:r>
              <w:rPr>
                <w:rFonts w:ascii="宋体" w:eastAsia="宋体" w:hAnsi="宋体" w:cs="宋体"/>
                <w:b w:val="0"/>
                <w:i w:val="0"/>
                <w:color w:val="000000"/>
                <w:sz w:val="14"/>
              </w:rPr>
              <w:t xml:space="preserve">196.40</w:t>
            </w:r>
          </w:p>
        </w:tc>
        <w:tc>
          <w:tcPr>
            <w:tcW w:w="1060" w:type="dxa"/>
            <w:tcBorders/>
            <w:vAlign w:val="center"/>
          </w:tcPr>
          <w:p>
            <w:pPr>
              <w:jc w:val="right"/>
            </w:pPr>
            <w:r>
              <w:rPr>
                <w:rFonts w:ascii="宋体" w:eastAsia="宋体" w:hAnsi="宋体" w:cs="宋体"/>
                <w:b w:val="0"/>
                <w:i w:val="0"/>
                <w:color w:val="000000"/>
                <w:sz w:val="14"/>
              </w:rPr>
              <w:t xml:space="preserve">181.58</w:t>
            </w:r>
          </w:p>
        </w:tc>
        <w:tc>
          <w:tcPr>
            <w:tcW w:w="1060" w:type="dxa"/>
            <w:tcBorders/>
            <w:vAlign w:val="center"/>
          </w:tcPr>
          <w:p>
            <w:pPr>
              <w:jc w:val="right"/>
            </w:pPr>
            <w:r>
              <w:rPr>
                <w:rFonts w:ascii="宋体" w:eastAsia="宋体" w:hAnsi="宋体" w:cs="宋体"/>
                <w:b w:val="0"/>
                <w:i w:val="0"/>
                <w:color w:val="000000"/>
                <w:sz w:val="14"/>
              </w:rPr>
              <w:t xml:space="preserve">14.82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181.58</w:t>
            </w:r>
          </w:p>
        </w:tc>
        <w:tc>
          <w:tcPr>
            <w:tcW w:w="1060" w:type="dxa"/>
            <w:tcBorders/>
            <w:vAlign w:val="center"/>
          </w:tcPr>
          <w:p>
            <w:pPr>
              <w:jc w:val="right"/>
            </w:pPr>
            <w:r>
              <w:rPr>
                <w:rFonts w:ascii="宋体" w:eastAsia="宋体" w:hAnsi="宋体" w:cs="宋体"/>
                <w:b w:val="0"/>
                <w:i w:val="0"/>
                <w:color w:val="000000"/>
                <w:sz w:val="14"/>
              </w:rPr>
              <w:t xml:space="preserve">181.58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2013404</w:t>
            </w:r>
          </w:p>
        </w:tc>
        <w:tc>
          <w:tcPr>
            <w:tcW w:w="3440" w:type="dxa"/>
            <w:tcBorders/>
            <w:vAlign w:val="center"/>
          </w:tcPr>
          <w:p>
            <w:pPr>
              <w:jc w:val="left"/>
            </w:pPr>
            <w:r>
              <w:rPr>
                <w:rFonts w:ascii="宋体" w:eastAsia="宋体" w:hAnsi="宋体" w:cs="宋体"/>
                <w:b w:val="0"/>
                <w:i w:val="0"/>
                <w:color w:val="000000"/>
                <w:sz w:val="14"/>
              </w:rPr>
              <w:t xml:space="preserve">宗教事务</w:t>
            </w:r>
          </w:p>
        </w:tc>
        <w:tc>
          <w:tcPr>
            <w:tcW w:w="1060" w:type="dxa"/>
            <w:tcBorders/>
            <w:vAlign w:val="center"/>
          </w:tcPr>
          <w:p>
            <w:pPr>
              <w:jc w:val="right"/>
            </w:pPr>
            <w:r>
              <w:rPr>
                <w:rFonts w:ascii="宋体" w:eastAsia="宋体" w:hAnsi="宋体" w:cs="宋体"/>
                <w:b w:val="0"/>
                <w:i w:val="0"/>
                <w:color w:val="000000"/>
                <w:sz w:val="14"/>
              </w:rPr>
              <w:t xml:space="preserve">1.92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25.05</w:t>
            </w:r>
          </w:p>
        </w:tc>
        <w:tc>
          <w:tcPr>
            <w:tcW w:w="1060" w:type="dxa"/>
            <w:tcBorders/>
            <w:vAlign w:val="center"/>
          </w:tcPr>
          <w:p>
            <w:pPr>
              <w:jc w:val="right"/>
            </w:pPr>
            <w:r>
              <w:rPr>
                <w:rFonts w:ascii="宋体" w:eastAsia="宋体" w:hAnsi="宋体" w:cs="宋体"/>
                <w:b w:val="0"/>
                <w:i w:val="0"/>
                <w:color w:val="000000"/>
                <w:sz w:val="14"/>
              </w:rPr>
              <w:t xml:space="preserve">25.05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25.05</w:t>
            </w:r>
          </w:p>
        </w:tc>
        <w:tc>
          <w:tcPr>
            <w:tcW w:w="1060" w:type="dxa"/>
            <w:tcBorders/>
            <w:vAlign w:val="center"/>
          </w:tcPr>
          <w:p>
            <w:pPr>
              <w:jc w:val="right"/>
            </w:pPr>
            <w:r>
              <w:rPr>
                <w:rFonts w:ascii="宋体" w:eastAsia="宋体" w:hAnsi="宋体" w:cs="宋体"/>
                <w:b w:val="0"/>
                <w:i w:val="0"/>
                <w:color w:val="000000"/>
                <w:sz w:val="14"/>
              </w:rPr>
              <w:t xml:space="preserve">25.05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1.64</w:t>
            </w:r>
          </w:p>
        </w:tc>
        <w:tc>
          <w:tcPr>
            <w:tcW w:w="1060" w:type="dxa"/>
            <w:tcBorders/>
            <w:vAlign w:val="center"/>
          </w:tcPr>
          <w:p>
            <w:pPr>
              <w:jc w:val="right"/>
            </w:pPr>
            <w:r>
              <w:rPr>
                <w:rFonts w:ascii="宋体" w:eastAsia="宋体" w:hAnsi="宋体" w:cs="宋体"/>
                <w:b w:val="0"/>
                <w:i w:val="0"/>
                <w:color w:val="000000"/>
                <w:sz w:val="14"/>
              </w:rPr>
              <w:t xml:space="preserve">1.64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23.41</w:t>
            </w:r>
          </w:p>
        </w:tc>
        <w:tc>
          <w:tcPr>
            <w:tcW w:w="1060" w:type="dxa"/>
            <w:tcBorders/>
            <w:vAlign w:val="center"/>
          </w:tcPr>
          <w:p>
            <w:pPr>
              <w:jc w:val="right"/>
            </w:pPr>
            <w:r>
              <w:rPr>
                <w:rFonts w:ascii="宋体" w:eastAsia="宋体" w:hAnsi="宋体" w:cs="宋体"/>
                <w:b w:val="0"/>
                <w:i w:val="0"/>
                <w:color w:val="000000"/>
                <w:sz w:val="14"/>
              </w:rPr>
              <w:t xml:space="preserve">23.41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jc w:val="right"/>
            </w:pPr>
            <w:r>
              <w:rPr>
                <w:rFonts w:ascii="宋体" w:eastAsia="宋体" w:hAnsi="宋体" w:cs="宋体"/>
                <w:b w:val="0"/>
                <w:i w:val="0"/>
                <w:color w:val="000000"/>
                <w:sz w:val="14"/>
              </w:rPr>
              <w:t xml:space="preserve">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26.34</w:t>
            </w:r>
          </w:p>
        </w:tc>
        <w:tc>
          <w:tcPr>
            <w:tcW w:w="1060" w:type="dxa"/>
            <w:tcBorders/>
            <w:vAlign w:val="center"/>
          </w:tcPr>
          <w:p>
            <w:pPr>
              <w:jc w:val="right"/>
            </w:pPr>
            <w:r>
              <w:rPr>
                <w:rFonts w:ascii="宋体" w:eastAsia="宋体" w:hAnsi="宋体" w:cs="宋体"/>
                <w:b w:val="0"/>
                <w:i w:val="0"/>
                <w:color w:val="000000"/>
                <w:sz w:val="14"/>
              </w:rPr>
              <w:t xml:space="preserve">26.34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26.34</w:t>
            </w:r>
          </w:p>
        </w:tc>
        <w:tc>
          <w:tcPr>
            <w:tcW w:w="1060" w:type="dxa"/>
            <w:tcBorders/>
            <w:vAlign w:val="center"/>
          </w:tcPr>
          <w:p>
            <w:pPr>
              <w:jc w:val="right"/>
            </w:pPr>
            <w:r>
              <w:rPr>
                <w:rFonts w:ascii="宋体" w:eastAsia="宋体" w:hAnsi="宋体" w:cs="宋体"/>
                <w:b w:val="0"/>
                <w:i w:val="0"/>
                <w:color w:val="000000"/>
                <w:sz w:val="14"/>
              </w:rPr>
              <w:t xml:space="preserve">26.34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26.34</w:t>
            </w:r>
          </w:p>
        </w:tc>
        <w:tc>
          <w:tcPr>
            <w:tcW w:w="1060" w:type="dxa"/>
            <w:tcBorders/>
            <w:vAlign w:val="center"/>
          </w:tcPr>
          <w:p>
            <w:pPr>
              <w:jc w:val="right"/>
            </w:pPr>
            <w:r>
              <w:rPr>
                <w:rFonts w:ascii="宋体" w:eastAsia="宋体" w:hAnsi="宋体" w:cs="宋体"/>
                <w:b w:val="0"/>
                <w:i w:val="0"/>
                <w:color w:val="000000"/>
                <w:sz w:val="14"/>
              </w:rPr>
              <w:t xml:space="preserve">26.34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196.40</w:t>
            </w:r>
          </w:p>
        </w:tc>
        <w:tc>
          <w:tcPr>
            <w:tcW w:w="1100" w:type="dxa"/>
            <w:tcBorders/>
            <w:vAlign w:val="center"/>
          </w:tcPr>
          <w:p>
            <w:pPr>
              <w:jc w:val="right"/>
            </w:pPr>
            <w:r>
              <w:rPr>
                <w:rFonts w:ascii="宋体" w:eastAsia="宋体" w:hAnsi="宋体" w:cs="宋体"/>
                <w:b w:val="0"/>
                <w:i w:val="0"/>
                <w:color w:val="000000"/>
                <w:sz w:val="14"/>
              </w:rPr>
              <w:t xml:space="preserve">196.40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0.31</w:t>
            </w:r>
          </w:p>
        </w:tc>
        <w:tc>
          <w:tcPr>
            <w:tcW w:w="1100" w:type="dxa"/>
            <w:tcBorders/>
            <w:vAlign w:val="center"/>
          </w:tcPr>
          <w:p>
            <w:pPr>
              <w:jc w:val="right"/>
            </w:pPr>
            <w:r>
              <w:rPr>
                <w:rFonts w:ascii="宋体" w:eastAsia="宋体" w:hAnsi="宋体" w:cs="宋体"/>
                <w:b w:val="0"/>
                <w:i w:val="0"/>
                <w:color w:val="000000"/>
                <w:sz w:val="14"/>
              </w:rPr>
              <w:t xml:space="preserve">0.31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25.05</w:t>
            </w:r>
          </w:p>
        </w:tc>
        <w:tc>
          <w:tcPr>
            <w:tcW w:w="1100" w:type="dxa"/>
            <w:tcBorders/>
            <w:vAlign w:val="center"/>
          </w:tcPr>
          <w:p>
            <w:pPr>
              <w:jc w:val="right"/>
            </w:pPr>
            <w:r>
              <w:rPr>
                <w:rFonts w:ascii="宋体" w:eastAsia="宋体" w:hAnsi="宋体" w:cs="宋体"/>
                <w:b w:val="0"/>
                <w:i w:val="0"/>
                <w:color w:val="000000"/>
                <w:sz w:val="14"/>
              </w:rPr>
              <w:t xml:space="preserve">25.05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8.02</w:t>
            </w:r>
          </w:p>
        </w:tc>
        <w:tc>
          <w:tcPr>
            <w:tcW w:w="1100" w:type="dxa"/>
            <w:tcBorders/>
            <w:vAlign w:val="center"/>
          </w:tcPr>
          <w:p>
            <w:pPr>
              <w:jc w:val="right"/>
            </w:pPr>
            <w:r>
              <w:rPr>
                <w:rFonts w:ascii="宋体" w:eastAsia="宋体" w:hAnsi="宋体" w:cs="宋体"/>
                <w:b w:val="0"/>
                <w:i w:val="0"/>
                <w:color w:val="000000"/>
                <w:sz w:val="14"/>
              </w:rPr>
              <w:t xml:space="preserve">8.02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26.34</w:t>
            </w:r>
          </w:p>
        </w:tc>
        <w:tc>
          <w:tcPr>
            <w:tcW w:w="1100" w:type="dxa"/>
            <w:tcBorders/>
            <w:vAlign w:val="center"/>
          </w:tcPr>
          <w:p>
            <w:pPr>
              <w:jc w:val="right"/>
            </w:pPr>
            <w:r>
              <w:rPr>
                <w:rFonts w:ascii="宋体" w:eastAsia="宋体" w:hAnsi="宋体" w:cs="宋体"/>
                <w:b w:val="0"/>
                <w:i w:val="0"/>
                <w:color w:val="000000"/>
                <w:sz w:val="14"/>
              </w:rPr>
              <w:t xml:space="preserve">26.34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1100" w:type="dxa"/>
            <w:tcBorders/>
            <w:vAlign w:val="center"/>
          </w:tcPr>
          <w:p>
            <w:pPr>
              <w:jc w:val="right"/>
            </w:pPr>
            <w:r>
              <w:rPr>
                <w:rFonts w:ascii="宋体" w:eastAsia="宋体" w:hAnsi="宋体" w:cs="宋体"/>
                <w:b w:val="0"/>
                <w:i w:val="0"/>
                <w:color w:val="000000"/>
                <w:sz w:val="14"/>
              </w:rPr>
              <w:t xml:space="preserve">256.12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256.12</w:t>
            </w:r>
          </w:p>
        </w:tc>
        <w:tc>
          <w:tcPr>
            <w:tcW w:w="1780" w:type="dxa"/>
            <w:tcBorders/>
            <w:vAlign w:val="center"/>
          </w:tcPr>
          <w:p>
            <w:pPr>
              <w:jc w:val="right"/>
            </w:pPr>
            <w:r>
              <w:rPr>
                <w:rFonts w:ascii="宋体" w:eastAsia="宋体" w:hAnsi="宋体" w:cs="宋体"/>
                <w:b/>
                <w:i w:val="0"/>
                <w:color w:val="000000"/>
                <w:sz w:val="18"/>
              </w:rPr>
              <w:t xml:space="preserve">240.99</w:t>
            </w:r>
          </w:p>
        </w:tc>
        <w:tc>
          <w:tcPr>
            <w:tcW w:w="1772" w:type="dxa"/>
            <w:tcBorders/>
            <w:vAlign w:val="center"/>
          </w:tcPr>
          <w:p>
            <w:pPr>
              <w:jc w:val="right"/>
            </w:pPr>
            <w:r>
              <w:rPr>
                <w:rFonts w:ascii="宋体" w:eastAsia="宋体" w:hAnsi="宋体" w:cs="宋体"/>
                <w:b/>
                <w:i w:val="0"/>
                <w:color w:val="000000"/>
                <w:sz w:val="18"/>
              </w:rPr>
              <w:t xml:space="preserve">15.14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196.41</w:t>
            </w:r>
          </w:p>
        </w:tc>
        <w:tc>
          <w:tcPr>
            <w:tcW w:w="1780" w:type="dxa"/>
            <w:tcBorders/>
            <w:vAlign w:val="center"/>
          </w:tcPr>
          <w:p>
            <w:pPr>
              <w:jc w:val="right"/>
            </w:pPr>
            <w:r>
              <w:rPr>
                <w:rFonts w:ascii="宋体" w:eastAsia="宋体" w:hAnsi="宋体" w:cs="宋体"/>
                <w:b w:val="0"/>
                <w:i w:val="0"/>
                <w:color w:val="000000"/>
                <w:sz w:val="18"/>
              </w:rPr>
              <w:t xml:space="preserve">181.58</w:t>
            </w:r>
          </w:p>
        </w:tc>
        <w:tc>
          <w:tcPr>
            <w:tcW w:w="1772" w:type="dxa"/>
            <w:tcBorders/>
            <w:vAlign w:val="center"/>
          </w:tcPr>
          <w:p>
            <w:pPr>
              <w:jc w:val="right"/>
            </w:pPr>
            <w:r>
              <w:rPr>
                <w:rFonts w:ascii="宋体" w:eastAsia="宋体" w:hAnsi="宋体" w:cs="宋体"/>
                <w:b w:val="0"/>
                <w:i w:val="0"/>
                <w:color w:val="000000"/>
                <w:sz w:val="18"/>
              </w:rPr>
              <w:t xml:space="preserve">14.83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20125</w:t>
            </w:r>
          </w:p>
        </w:tc>
        <w:tc>
          <w:tcPr>
            <w:tcW w:w="4300" w:type="dxa"/>
            <w:tcBorders/>
            <w:vAlign w:val="center"/>
          </w:tcPr>
          <w:p>
            <w:pPr>
              <w:jc w:val="left"/>
            </w:pPr>
            <w:r>
              <w:rPr>
                <w:rFonts w:ascii="宋体" w:eastAsia="宋体" w:hAnsi="宋体" w:cs="宋体"/>
                <w:b w:val="0"/>
                <w:i w:val="0"/>
                <w:color w:val="000000"/>
                <w:sz w:val="18"/>
              </w:rPr>
              <w:t xml:space="preserve">港澳台事务</w:t>
            </w:r>
          </w:p>
        </w:tc>
        <w:tc>
          <w:tcPr>
            <w:tcW w:w="1780" w:type="dxa"/>
            <w:tcBorders/>
            <w:vAlign w:val="center"/>
          </w:tcPr>
          <w:p>
            <w:pPr>
              <w:jc w:val="right"/>
            </w:pPr>
            <w:r>
              <w:rPr>
                <w:rFonts w:ascii="宋体" w:eastAsia="宋体" w:hAnsi="宋体" w:cs="宋体"/>
                <w:b w:val="0"/>
                <w:i w:val="0"/>
                <w:color w:val="000000"/>
                <w:sz w:val="18"/>
              </w:rPr>
              <w:t xml:space="preserve">0.01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2012505</w:t>
            </w:r>
          </w:p>
        </w:tc>
        <w:tc>
          <w:tcPr>
            <w:tcW w:w="4300" w:type="dxa"/>
            <w:tcBorders/>
            <w:vAlign w:val="center"/>
          </w:tcPr>
          <w:p>
            <w:pPr>
              <w:jc w:val="left"/>
            </w:pPr>
            <w:r>
              <w:rPr>
                <w:rFonts w:ascii="宋体" w:eastAsia="宋体" w:hAnsi="宋体" w:cs="宋体"/>
                <w:b w:val="0"/>
                <w:i w:val="0"/>
                <w:color w:val="000000"/>
                <w:sz w:val="18"/>
              </w:rPr>
              <w:t xml:space="preserve">台湾事务</w:t>
            </w:r>
          </w:p>
        </w:tc>
        <w:tc>
          <w:tcPr>
            <w:tcW w:w="1780" w:type="dxa"/>
            <w:tcBorders/>
            <w:vAlign w:val="center"/>
          </w:tcPr>
          <w:p>
            <w:pPr>
              <w:jc w:val="right"/>
            </w:pPr>
            <w:r>
              <w:rPr>
                <w:rFonts w:ascii="宋体" w:eastAsia="宋体" w:hAnsi="宋体" w:cs="宋体"/>
                <w:b w:val="0"/>
                <w:i w:val="0"/>
                <w:color w:val="000000"/>
                <w:sz w:val="18"/>
              </w:rPr>
              <w:t xml:space="preserve">0.01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w:t>
            </w:r>
          </w:p>
        </w:tc>
        <w:tc>
          <w:tcPr>
            <w:tcW w:w="4300" w:type="dxa"/>
            <w:tcBorders/>
            <w:vAlign w:val="center"/>
          </w:tcPr>
          <w:p>
            <w:pPr>
              <w:jc w:val="left"/>
            </w:pPr>
            <w:r>
              <w:rPr>
                <w:rFonts w:ascii="宋体" w:eastAsia="宋体" w:hAnsi="宋体" w:cs="宋体"/>
                <w:b w:val="0"/>
                <w:i w:val="0"/>
                <w:color w:val="000000"/>
                <w:sz w:val="18"/>
              </w:rPr>
              <w:t xml:space="preserve">统战事务</w:t>
            </w:r>
          </w:p>
        </w:tc>
        <w:tc>
          <w:tcPr>
            <w:tcW w:w="1780" w:type="dxa"/>
            <w:tcBorders/>
            <w:vAlign w:val="center"/>
          </w:tcPr>
          <w:p>
            <w:pPr>
              <w:jc w:val="right"/>
            </w:pPr>
            <w:r>
              <w:rPr>
                <w:rFonts w:ascii="宋体" w:eastAsia="宋体" w:hAnsi="宋体" w:cs="宋体"/>
                <w:b w:val="0"/>
                <w:i w:val="0"/>
                <w:color w:val="000000"/>
                <w:sz w:val="18"/>
              </w:rPr>
              <w:t xml:space="preserve">196.40</w:t>
            </w:r>
          </w:p>
        </w:tc>
        <w:tc>
          <w:tcPr>
            <w:tcW w:w="1780" w:type="dxa"/>
            <w:tcBorders/>
            <w:vAlign w:val="center"/>
          </w:tcPr>
          <w:p>
            <w:pPr>
              <w:jc w:val="right"/>
            </w:pPr>
            <w:r>
              <w:rPr>
                <w:rFonts w:ascii="宋体" w:eastAsia="宋体" w:hAnsi="宋体" w:cs="宋体"/>
                <w:b w:val="0"/>
                <w:i w:val="0"/>
                <w:color w:val="000000"/>
                <w:sz w:val="18"/>
              </w:rPr>
              <w:t xml:space="preserve">181.58</w:t>
            </w:r>
          </w:p>
        </w:tc>
        <w:tc>
          <w:tcPr>
            <w:tcW w:w="1772" w:type="dxa"/>
            <w:tcBorders/>
            <w:vAlign w:val="center"/>
          </w:tcPr>
          <w:p>
            <w:pPr>
              <w:jc w:val="right"/>
            </w:pPr>
            <w:r>
              <w:rPr>
                <w:rFonts w:ascii="宋体" w:eastAsia="宋体" w:hAnsi="宋体" w:cs="宋体"/>
                <w:b w:val="0"/>
                <w:i w:val="0"/>
                <w:color w:val="000000"/>
                <w:sz w:val="18"/>
              </w:rPr>
              <w:t xml:space="preserve">14.82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181.58</w:t>
            </w:r>
          </w:p>
        </w:tc>
        <w:tc>
          <w:tcPr>
            <w:tcW w:w="1780" w:type="dxa"/>
            <w:tcBorders/>
            <w:vAlign w:val="center"/>
          </w:tcPr>
          <w:p>
            <w:pPr>
              <w:jc w:val="right"/>
            </w:pPr>
            <w:r>
              <w:rPr>
                <w:rFonts w:ascii="宋体" w:eastAsia="宋体" w:hAnsi="宋体" w:cs="宋体"/>
                <w:b w:val="0"/>
                <w:i w:val="0"/>
                <w:color w:val="000000"/>
                <w:sz w:val="18"/>
              </w:rPr>
              <w:t xml:space="preserve">181.58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12.90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2013404</w:t>
            </w:r>
          </w:p>
        </w:tc>
        <w:tc>
          <w:tcPr>
            <w:tcW w:w="4300" w:type="dxa"/>
            <w:tcBorders/>
            <w:vAlign w:val="center"/>
          </w:tcPr>
          <w:p>
            <w:pPr>
              <w:jc w:val="left"/>
            </w:pPr>
            <w:r>
              <w:rPr>
                <w:rFonts w:ascii="宋体" w:eastAsia="宋体" w:hAnsi="宋体" w:cs="宋体"/>
                <w:b w:val="0"/>
                <w:i w:val="0"/>
                <w:color w:val="000000"/>
                <w:sz w:val="18"/>
              </w:rPr>
              <w:t xml:space="preserve">宗教事务</w:t>
            </w:r>
          </w:p>
        </w:tc>
        <w:tc>
          <w:tcPr>
            <w:tcW w:w="1780" w:type="dxa"/>
            <w:tcBorders/>
            <w:vAlign w:val="center"/>
          </w:tcPr>
          <w:p>
            <w:pPr>
              <w:jc w:val="right"/>
            </w:pPr>
            <w:r>
              <w:rPr>
                <w:rFonts w:ascii="宋体" w:eastAsia="宋体" w:hAnsi="宋体" w:cs="宋体"/>
                <w:b w:val="0"/>
                <w:i w:val="0"/>
                <w:color w:val="000000"/>
                <w:sz w:val="18"/>
              </w:rPr>
              <w:t xml:space="preserve">1.92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0.31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25.05</w:t>
            </w:r>
          </w:p>
        </w:tc>
        <w:tc>
          <w:tcPr>
            <w:tcW w:w="1780" w:type="dxa"/>
            <w:tcBorders/>
            <w:vAlign w:val="center"/>
          </w:tcPr>
          <w:p>
            <w:pPr>
              <w:jc w:val="right"/>
            </w:pPr>
            <w:r>
              <w:rPr>
                <w:rFonts w:ascii="宋体" w:eastAsia="宋体" w:hAnsi="宋体" w:cs="宋体"/>
                <w:b w:val="0"/>
                <w:i w:val="0"/>
                <w:color w:val="000000"/>
                <w:sz w:val="18"/>
              </w:rPr>
              <w:t xml:space="preserve">25.05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25.05</w:t>
            </w:r>
          </w:p>
        </w:tc>
        <w:tc>
          <w:tcPr>
            <w:tcW w:w="1780" w:type="dxa"/>
            <w:tcBorders/>
            <w:vAlign w:val="center"/>
          </w:tcPr>
          <w:p>
            <w:pPr>
              <w:jc w:val="right"/>
            </w:pPr>
            <w:r>
              <w:rPr>
                <w:rFonts w:ascii="宋体" w:eastAsia="宋体" w:hAnsi="宋体" w:cs="宋体"/>
                <w:b w:val="0"/>
                <w:i w:val="0"/>
                <w:color w:val="000000"/>
                <w:sz w:val="18"/>
              </w:rPr>
              <w:t xml:space="preserve">25.05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1.64</w:t>
            </w:r>
          </w:p>
        </w:tc>
        <w:tc>
          <w:tcPr>
            <w:tcW w:w="1780" w:type="dxa"/>
            <w:tcBorders/>
            <w:vAlign w:val="center"/>
          </w:tcPr>
          <w:p>
            <w:pPr>
              <w:jc w:val="right"/>
            </w:pPr>
            <w:r>
              <w:rPr>
                <w:rFonts w:ascii="宋体" w:eastAsia="宋体" w:hAnsi="宋体" w:cs="宋体"/>
                <w:b w:val="0"/>
                <w:i w:val="0"/>
                <w:color w:val="000000"/>
                <w:sz w:val="18"/>
              </w:rPr>
              <w:t xml:space="preserve">1.64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23.41</w:t>
            </w:r>
          </w:p>
        </w:tc>
        <w:tc>
          <w:tcPr>
            <w:tcW w:w="1780" w:type="dxa"/>
            <w:tcBorders/>
            <w:vAlign w:val="center"/>
          </w:tcPr>
          <w:p>
            <w:pPr>
              <w:jc w:val="right"/>
            </w:pPr>
            <w:r>
              <w:rPr>
                <w:rFonts w:ascii="宋体" w:eastAsia="宋体" w:hAnsi="宋体" w:cs="宋体"/>
                <w:b w:val="0"/>
                <w:i w:val="0"/>
                <w:color w:val="000000"/>
                <w:sz w:val="18"/>
              </w:rPr>
              <w:t xml:space="preserve">23.41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80" w:type="dxa"/>
            <w:tcBorders/>
            <w:vAlign w:val="center"/>
          </w:tcPr>
          <w:p>
            <w:pPr>
              <w:jc w:val="right"/>
            </w:pPr>
            <w:r>
              <w:rPr>
                <w:rFonts w:ascii="宋体" w:eastAsia="宋体" w:hAnsi="宋体" w:cs="宋体"/>
                <w:b w:val="0"/>
                <w:i w:val="0"/>
                <w:color w:val="000000"/>
                <w:sz w:val="18"/>
              </w:rPr>
              <w:t xml:space="preserve">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26.34</w:t>
            </w:r>
          </w:p>
        </w:tc>
        <w:tc>
          <w:tcPr>
            <w:tcW w:w="1780" w:type="dxa"/>
            <w:tcBorders/>
            <w:vAlign w:val="center"/>
          </w:tcPr>
          <w:p>
            <w:pPr>
              <w:jc w:val="right"/>
            </w:pPr>
            <w:r>
              <w:rPr>
                <w:rFonts w:ascii="宋体" w:eastAsia="宋体" w:hAnsi="宋体" w:cs="宋体"/>
                <w:b w:val="0"/>
                <w:i w:val="0"/>
                <w:color w:val="000000"/>
                <w:sz w:val="18"/>
              </w:rPr>
              <w:t xml:space="preserve">26.34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26.34</w:t>
            </w:r>
          </w:p>
        </w:tc>
        <w:tc>
          <w:tcPr>
            <w:tcW w:w="1780" w:type="dxa"/>
            <w:tcBorders/>
            <w:vAlign w:val="center"/>
          </w:tcPr>
          <w:p>
            <w:pPr>
              <w:jc w:val="right"/>
            </w:pPr>
            <w:r>
              <w:rPr>
                <w:rFonts w:ascii="宋体" w:eastAsia="宋体" w:hAnsi="宋体" w:cs="宋体"/>
                <w:b w:val="0"/>
                <w:i w:val="0"/>
                <w:color w:val="000000"/>
                <w:sz w:val="18"/>
              </w:rPr>
              <w:t xml:space="preserve">26.34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26.34</w:t>
            </w:r>
          </w:p>
        </w:tc>
        <w:tc>
          <w:tcPr>
            <w:tcW w:w="1780" w:type="dxa"/>
            <w:tcBorders/>
            <w:vAlign w:val="center"/>
          </w:tcPr>
          <w:p>
            <w:pPr>
              <w:jc w:val="right"/>
            </w:pPr>
            <w:r>
              <w:rPr>
                <w:rFonts w:ascii="宋体" w:eastAsia="宋体" w:hAnsi="宋体" w:cs="宋体"/>
                <w:b w:val="0"/>
                <w:i w:val="0"/>
                <w:color w:val="000000"/>
                <w:sz w:val="18"/>
              </w:rPr>
              <w:t xml:space="preserve">26.34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216.27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23.07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59.54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2.48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45.80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47.72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4.86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23.41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8.28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8.02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26.34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1.64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1.64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11.02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217.91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23.07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单位：中共辽宁省沈阳市浑南区委统一战线工作部（本级）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008001中共沈阳市浑南区委统一战线工作部本级-210112000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285.43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285.43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176.45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176.45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保证2024年人员经费开支和各项工作运转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2024年人员经费开支和各项工作正常运转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有利于密切党同人民群众的关系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密切联系</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运行良好</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绩效激励</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走访慰问费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宗教工作专项业务经费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经费保障:因财力紧张，此项目在年度执行时财政未足额拨付经费。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经费保障:因财力紧张，此项目在年度执行时财政未足额拨付经费。部分经费支出已压缩，缩减支出。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25.05438353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进一步加强统战系统理论素养及参政议政能力，更好的凝聚人心、汇集力量。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进一步加强统战系统理论素养及参政议政能力，更好的凝聚人心、汇集力量。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统战教育及宗教办学培训人次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会议培训设施功能运转无故障率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1</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经费保障:1本着过紧日子原则，按照区财政统一安排，待资金拨付到位后严格执行预算支出，保障经费执行到位。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经费保障:因区财力紧张，部门压缩专项经费开支，此项目年度执行时财政未拨付经费，部分活动未开展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统战事务管理专项业务经费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31.2697832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台侨、台办工作经费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经费保障:因财力紧张，部门压缩经费开支，此项目年度执行时财政未足额拨付经费，部分活动未开展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经费保障:因财力紧张，此项目年度执行时财政未足额拨付经费 ，部门经费支出时压缩开支，部分活动未开展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经费保障:因财力紧张，部门压缩经费开支，此项目年度执行时财政未足额拨付经费，部分活动未开展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经费保障:因财力紧张，此项目年度执行时财政未足额拨付经费 ，部门经费支出时压缩开支，部分活动未开展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18.34133333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审计专项业务经费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经费保障:因财力紧张，此项目年度执行时财政未拨付经费，全年执行数为0，产生的经费支出欠付。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民族工作专项业务经费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经费保障:因财力紧张，此项目年度执行时财政未拨付经费，全年执行数为0，产生的经费支出暂未支付。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经费保障:本着过紧日子原则，按照区财政统一安排，待资金拨付到位后严格执行预算支出，保障经费执行到位。</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提高保障水平、完善管理机制、促进残疾人就业、加强社会支持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提高保障水平、完善管理机制、促进残疾人就业、加强社会支持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基本自理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7岁以下贫困残疾儿童生活补助救助补贴发放及时率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困难残疾人人均补贴标准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31.21666667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中共沈阳市浑南区委统一战线工作部本级-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3.108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17.77124183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