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辽宁省沈阳市浑南区统战事务服务中心（沈阳市浑南区民族宗教事务服务中心）</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辽宁省沈阳市浑南区统战事务服务中心（沈阳市浑南区民族宗教事务服务中心）</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辽宁省沈阳市浑南区统战事务服务中心（沈阳市浑南区民族宗教事务服务中心）</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辽宁省沈阳市浑南区统战事务服务中心（沈阳市浑南区民族宗教事务服务中心）</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辽宁省沈阳市浑南区统战事务服务中心（沈阳市浑南区民族宗教事务服务中心）</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辽宁省沈阳市浑南区统战事务服务中心（沈阳市浑南区民族宗教事务服务中心）概况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（一）贯彻落实关于区委统一战线工作的各项要求。</w:t>
        <w:br/>
        <w:t xml:space="preserve">    （二）参与民主党派基层组织、统战团体和港澳台侨统战服务工作。</w:t>
        <w:br/>
        <w:t xml:space="preserve">    （三）参与民族宗教事务治理相关服务工作。</w:t>
        <w:br/>
        <w:t xml:space="preserve">    （四）承担安全生产相关服务工作。</w:t>
        <w:br/>
        <w:t xml:space="preserve">    （五）负责在新媒体环境下开展网络统战服务工作，为统战</w:t>
        <w:br/>
        <w:t xml:space="preserve">    对象学习培训、联谊联络等与统战工作有关的交流活动提供服务</w:t>
        <w:br/>
        <w:t xml:space="preserve">    保障。</w:t>
        <w:br/>
        <w:t xml:space="preserve">    （六）负责促进非公有制经济健康发展和非公有制经济人士健康成长</w:t>
        <w:br/>
        <w:t xml:space="preserve">    相关工作，引导非公企业践行新发展理念，弘扬企业家精神，为非公企业维权</w:t>
        <w:br/>
        <w:t xml:space="preserve">    和非公经济发展提供服务保障。推动发展职业教育，促进产教融合。 </w:t>
        <w:br/>
        <w:t xml:space="preserve">    （七）负责协助区委统战部贯彻执行光彩事业的方针政策，</w:t>
        <w:br/>
        <w:t xml:space="preserve">    开展光彩事业有关方面的政策宣传、咨询服务等事务性工作，扩</w:t>
        <w:br/>
        <w:t xml:space="preserve">    大光彩事业的参与队伍。</w:t>
        <w:br/>
        <w:t xml:space="preserve">    （八）协助民族宗教事务部门开展对民族宗教领域的政治引</w:t>
        <w:br/>
        <w:t xml:space="preserve">    领、教育培训、联系服务以及日常事务指导管理，督导依法开展</w:t>
        <w:br/>
        <w:t xml:space="preserve">    各项活动，规范公益慈善活动。</w:t>
        <w:br/>
        <w:t xml:space="preserve">    （九）参与民族宗教领域重点、难点、热点问题调研和民族</w:t>
        <w:br/>
        <w:t xml:space="preserve">    宗教政策法律法规的宣传教育工作。</w:t>
        <w:br/>
        <w:t xml:space="preserve">    （十）负责统一战线领域信息化建设、信用体系建设和舆情</w:t>
        <w:br/>
        <w:t xml:space="preserve">    信息的监控、收集、整理工作，承担各类信息系统的日常运维和</w:t>
        <w:br/>
        <w:t xml:space="preserve">    安全防护，承担网络宗教服务管理工作。</w:t>
        <w:br/>
        <w:t xml:space="preserve">    （十一）完成区委及区委统战部交办的其他任务。</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辽宁省沈阳市浑南区统战事务服务中心（沈阳市浑南区民族宗教事务服务中心）</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辽宁省沈阳市浑南区统战事务服务中心（沈阳市浑南区民族宗教事务服务中心）本级，本单位无下设机构。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49.70</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49.70</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49.70</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增加32.08万元，增长182.11%</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人员增加、预算增加</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49.70</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49.39</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99.38</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工资福利支出45.99万元；商品和服务支出3.41万元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0.31</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0.62</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主要包括缴纳残疾人就业保障金等业务支出。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增加32.08万元，增长182.11%</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新增人员费用支出</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无结转结余</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49.70</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49.39</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0.31</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增加32.08万元，增长182.11%</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新增人员费用支出</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127.14</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127.50</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87.37</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2024年度一般公共预算财政拨款支出49.70万元。按支出功能分类科目分，包括：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1.一般公共服务支出37.26万元，具体包括：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统战事务（款）事业运行（项）36.95万元,主要是工资福利支出、商品和服务支出、对个人和家庭的补助等支出，完成年初预算的126.89%，决算数与年初预算数存在差异的主要原因是按实际缴纳。</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（2）一般公共服务支出（类）统战事务（款）其他统战事务支出（项）0.31万元,主要是缴纳残疾人就业保障金等支出，完成年初预算的88.57%，决算数与年初预算数存在差异的主要原因是按实际缴纳。</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2.社会保障和就业支出5.16万元，具体包括：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机关事业单位基本养老保险缴费支出（项）5.16万元,主要是机关事业单位基本养老保险缴费等支出，完成年初预算的164.86%，决算数与年初预算数存在差异的主要原因是按实际缴纳。</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3.卫生健康支出2.58万元，具体包括：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（1）卫生健康支出（类）行政事业单位医疗（款）事业单位医疗（项）2.58万元,主要是职工基本医疗保险缴费等支出，完成年初预算的185.61%，决算数与年初预算数存在差异的主要原因是按实际缴纳。</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4.住房保障支出4.71万元，具体包括：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（1）住房保障支出（类）住房改革支出（款）住房公积金（项）4.71万元,主要是住房公积金等支出，完成年初预算的92.35%，决算数与年初预算数存在差异的主要原因是按实际缴纳。</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未产生此业务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未产生此业务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未产生此业务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未产生此业务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未产生此业务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未产生此业务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未产生此业务</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49.40</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45.99</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3.41</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未产生此业务</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0.00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0.00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0.00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具体而言，本年度我部门共组织对1个项目实施了绩效评价。从预算资金来源看，涉及一般公共预算的项目1个，涉及政府性基金预算的项目0个，涉及国有资本经营预算的项目0个。</w:t>
        <w:br/>
        <w:t xml:space="preserve">上述评价工作共涉及财政资金0.31万元。其中，一般公共预算资金0.31万元，占资金总额的100%；政府性基金预算资金0万元，占0%；国有资本经营预算资金0万元，占0%。通过全面开展绩效评价，旨在全面检验财政资金的使用效益和政策的实施效果。</w:t>
        <w:br/>
        <w:t xml:space="preserve">2.项目绩效自评情况及结果。</w:t>
        <w:br/>
        <w:t xml:space="preserve">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自评得分在90分（含）以上、绩效等级为“优”的项目有1个；得分在80分（含）至90分、等级为“良”的项目有0个；得分在60分（含）至80分、等级为“中”的项目有0；得分在60分以下、等级为“差”的项目有0个。</w:t>
        <w:br/>
        <w:t xml:space="preserve">3.部门重点评价情况及结果。</w:t>
        <w:br/>
        <w:t xml:space="preserve">我部门未产生资金量大、社会关注度高的民生领域项目，因此暂未做重点项目绩效评价。</w:t>
        <w:br/>
        <w:t xml:space="preserve">4.财政评价结果。</w:t>
        <w:br/>
        <w:t xml:space="preserve">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5.其他需要说明的情况。</w:t>
        <w:br/>
        <w:t xml:space="preserve">（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（2）公开情况：本部门将按照政务公开要求，适时将通过审核的绩效评价结果（尤其是部门评价和财政评价结果）向社会公开，主动接受社会监督。</w:t>
        <w:br/>
        <w:t xml:space="preserve">（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单位：辽宁省沈阳市浑南区统战事务服务中心（沈阳市浑南区民族宗教事务服务中心）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49.70</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37.26</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5.16</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2.58</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4.71</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49.70</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49.70</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49.70</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49.70</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单位：辽宁省沈阳市浑南区统战事务服务中心（沈阳市浑南区民族宗教事务服务中心）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49.70</w:t>
            </w:r>
          </w:p>
        </w:tc>
        <w:tc>
          <w:tcPr>
            <w:tcW w:w="960" w:type="dxa"/>
            <w:tcBorders/>
            <w:vAlign w:val="center"/>
          </w:tcPr>
          <w:p>
            <w:pPr>
              <w:jc w:val="right"/>
            </w:pPr>
            <w:r>
              <w:rPr>
                <w:rFonts w:ascii="宋体" w:eastAsia="宋体" w:hAnsi="宋体" w:cs="宋体"/>
                <w:b/>
                <w:i w:val="0"/>
                <w:color w:val="000000"/>
                <w:sz w:val="13"/>
              </w:rPr>
              <w:t xml:space="preserve">49.70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37.26</w:t>
            </w:r>
          </w:p>
        </w:tc>
        <w:tc>
          <w:tcPr>
            <w:tcW w:w="960" w:type="dxa"/>
            <w:tcBorders/>
            <w:vAlign w:val="center"/>
          </w:tcPr>
          <w:p>
            <w:pPr>
              <w:jc w:val="right"/>
            </w:pPr>
            <w:r>
              <w:rPr>
                <w:rFonts w:ascii="宋体" w:eastAsia="宋体" w:hAnsi="宋体" w:cs="宋体"/>
                <w:b w:val="0"/>
                <w:i w:val="0"/>
                <w:color w:val="000000"/>
                <w:sz w:val="13"/>
              </w:rPr>
              <w:t xml:space="preserve">37.26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20134</w:t>
            </w:r>
          </w:p>
        </w:tc>
        <w:tc>
          <w:tcPr>
            <w:tcW w:w="3200" w:type="dxa"/>
            <w:tcBorders/>
            <w:vAlign w:val="center"/>
          </w:tcPr>
          <w:p>
            <w:pPr>
              <w:jc w:val="left"/>
            </w:pPr>
            <w:r>
              <w:rPr>
                <w:rFonts w:ascii="宋体" w:eastAsia="宋体" w:hAnsi="宋体" w:cs="宋体"/>
                <w:b w:val="0"/>
                <w:i w:val="0"/>
                <w:color w:val="000000"/>
                <w:sz w:val="13"/>
              </w:rPr>
              <w:t xml:space="preserve">统战事务</w:t>
            </w:r>
          </w:p>
        </w:tc>
        <w:tc>
          <w:tcPr>
            <w:tcW w:w="960" w:type="dxa"/>
            <w:tcBorders/>
            <w:vAlign w:val="center"/>
          </w:tcPr>
          <w:p>
            <w:pPr>
              <w:jc w:val="right"/>
            </w:pPr>
            <w:r>
              <w:rPr>
                <w:rFonts w:ascii="宋体" w:eastAsia="宋体" w:hAnsi="宋体" w:cs="宋体"/>
                <w:b w:val="0"/>
                <w:i w:val="0"/>
                <w:color w:val="000000"/>
                <w:sz w:val="13"/>
              </w:rPr>
              <w:t xml:space="preserve">37.26</w:t>
            </w:r>
          </w:p>
        </w:tc>
        <w:tc>
          <w:tcPr>
            <w:tcW w:w="960" w:type="dxa"/>
            <w:tcBorders/>
            <w:vAlign w:val="center"/>
          </w:tcPr>
          <w:p>
            <w:pPr>
              <w:jc w:val="right"/>
            </w:pPr>
            <w:r>
              <w:rPr>
                <w:rFonts w:ascii="宋体" w:eastAsia="宋体" w:hAnsi="宋体" w:cs="宋体"/>
                <w:b w:val="0"/>
                <w:i w:val="0"/>
                <w:color w:val="000000"/>
                <w:sz w:val="13"/>
              </w:rPr>
              <w:t xml:space="preserve">37.26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2013450</w:t>
            </w:r>
          </w:p>
        </w:tc>
        <w:tc>
          <w:tcPr>
            <w:tcW w:w="3200" w:type="dxa"/>
            <w:tcBorders/>
            <w:vAlign w:val="center"/>
          </w:tcPr>
          <w:p>
            <w:pPr>
              <w:jc w:val="left"/>
            </w:pPr>
            <w:r>
              <w:rPr>
                <w:rFonts w:ascii="宋体" w:eastAsia="宋体" w:hAnsi="宋体" w:cs="宋体"/>
                <w:b w:val="0"/>
                <w:i w:val="0"/>
                <w:color w:val="000000"/>
                <w:sz w:val="13"/>
              </w:rPr>
              <w:t xml:space="preserve">事业运行</w:t>
            </w:r>
          </w:p>
        </w:tc>
        <w:tc>
          <w:tcPr>
            <w:tcW w:w="960" w:type="dxa"/>
            <w:tcBorders/>
            <w:vAlign w:val="center"/>
          </w:tcPr>
          <w:p>
            <w:pPr>
              <w:jc w:val="right"/>
            </w:pPr>
            <w:r>
              <w:rPr>
                <w:rFonts w:ascii="宋体" w:eastAsia="宋体" w:hAnsi="宋体" w:cs="宋体"/>
                <w:b w:val="0"/>
                <w:i w:val="0"/>
                <w:color w:val="000000"/>
                <w:sz w:val="13"/>
              </w:rPr>
              <w:t xml:space="preserve">36.95</w:t>
            </w:r>
          </w:p>
        </w:tc>
        <w:tc>
          <w:tcPr>
            <w:tcW w:w="960" w:type="dxa"/>
            <w:tcBorders/>
            <w:vAlign w:val="center"/>
          </w:tcPr>
          <w:p>
            <w:pPr>
              <w:jc w:val="right"/>
            </w:pPr>
            <w:r>
              <w:rPr>
                <w:rFonts w:ascii="宋体" w:eastAsia="宋体" w:hAnsi="宋体" w:cs="宋体"/>
                <w:b w:val="0"/>
                <w:i w:val="0"/>
                <w:color w:val="000000"/>
                <w:sz w:val="13"/>
              </w:rPr>
              <w:t xml:space="preserve">36.95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2013499</w:t>
            </w:r>
          </w:p>
        </w:tc>
        <w:tc>
          <w:tcPr>
            <w:tcW w:w="3200" w:type="dxa"/>
            <w:tcBorders/>
            <w:vAlign w:val="center"/>
          </w:tcPr>
          <w:p>
            <w:pPr>
              <w:jc w:val="left"/>
            </w:pPr>
            <w:r>
              <w:rPr>
                <w:rFonts w:ascii="宋体" w:eastAsia="宋体" w:hAnsi="宋体" w:cs="宋体"/>
                <w:b w:val="0"/>
                <w:i w:val="0"/>
                <w:color w:val="000000"/>
                <w:sz w:val="13"/>
              </w:rPr>
              <w:t xml:space="preserve">其他统战事务支出</w:t>
            </w:r>
          </w:p>
        </w:tc>
        <w:tc>
          <w:tcPr>
            <w:tcW w:w="960" w:type="dxa"/>
            <w:tcBorders/>
            <w:vAlign w:val="center"/>
          </w:tcPr>
          <w:p>
            <w:pPr>
              <w:jc w:val="right"/>
            </w:pPr>
            <w:r>
              <w:rPr>
                <w:rFonts w:ascii="宋体" w:eastAsia="宋体" w:hAnsi="宋体" w:cs="宋体"/>
                <w:b w:val="0"/>
                <w:i w:val="0"/>
                <w:color w:val="000000"/>
                <w:sz w:val="13"/>
              </w:rPr>
              <w:t xml:space="preserve">0.31</w:t>
            </w:r>
          </w:p>
        </w:tc>
        <w:tc>
          <w:tcPr>
            <w:tcW w:w="960" w:type="dxa"/>
            <w:tcBorders/>
            <w:vAlign w:val="center"/>
          </w:tcPr>
          <w:p>
            <w:pPr>
              <w:jc w:val="right"/>
            </w:pPr>
            <w:r>
              <w:rPr>
                <w:rFonts w:ascii="宋体" w:eastAsia="宋体" w:hAnsi="宋体" w:cs="宋体"/>
                <w:b w:val="0"/>
                <w:i w:val="0"/>
                <w:color w:val="000000"/>
                <w:sz w:val="13"/>
              </w:rPr>
              <w:t xml:space="preserve">0.31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5.16</w:t>
            </w:r>
          </w:p>
        </w:tc>
        <w:tc>
          <w:tcPr>
            <w:tcW w:w="960" w:type="dxa"/>
            <w:tcBorders/>
            <w:vAlign w:val="center"/>
          </w:tcPr>
          <w:p>
            <w:pPr>
              <w:jc w:val="right"/>
            </w:pPr>
            <w:r>
              <w:rPr>
                <w:rFonts w:ascii="宋体" w:eastAsia="宋体" w:hAnsi="宋体" w:cs="宋体"/>
                <w:b w:val="0"/>
                <w:i w:val="0"/>
                <w:color w:val="000000"/>
                <w:sz w:val="13"/>
              </w:rPr>
              <w:t xml:space="preserve">5.16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5.16</w:t>
            </w:r>
          </w:p>
        </w:tc>
        <w:tc>
          <w:tcPr>
            <w:tcW w:w="960" w:type="dxa"/>
            <w:tcBorders/>
            <w:vAlign w:val="center"/>
          </w:tcPr>
          <w:p>
            <w:pPr>
              <w:jc w:val="right"/>
            </w:pPr>
            <w:r>
              <w:rPr>
                <w:rFonts w:ascii="宋体" w:eastAsia="宋体" w:hAnsi="宋体" w:cs="宋体"/>
                <w:b w:val="0"/>
                <w:i w:val="0"/>
                <w:color w:val="000000"/>
                <w:sz w:val="13"/>
              </w:rPr>
              <w:t xml:space="preserve">5.16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5.16</w:t>
            </w:r>
          </w:p>
        </w:tc>
        <w:tc>
          <w:tcPr>
            <w:tcW w:w="960" w:type="dxa"/>
            <w:tcBorders/>
            <w:vAlign w:val="center"/>
          </w:tcPr>
          <w:p>
            <w:pPr>
              <w:jc w:val="right"/>
            </w:pPr>
            <w:r>
              <w:rPr>
                <w:rFonts w:ascii="宋体" w:eastAsia="宋体" w:hAnsi="宋体" w:cs="宋体"/>
                <w:b w:val="0"/>
                <w:i w:val="0"/>
                <w:color w:val="000000"/>
                <w:sz w:val="13"/>
              </w:rPr>
              <w:t xml:space="preserve">5.16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2.58</w:t>
            </w:r>
          </w:p>
        </w:tc>
        <w:tc>
          <w:tcPr>
            <w:tcW w:w="960" w:type="dxa"/>
            <w:tcBorders/>
            <w:vAlign w:val="center"/>
          </w:tcPr>
          <w:p>
            <w:pPr>
              <w:jc w:val="right"/>
            </w:pPr>
            <w:r>
              <w:rPr>
                <w:rFonts w:ascii="宋体" w:eastAsia="宋体" w:hAnsi="宋体" w:cs="宋体"/>
                <w:b w:val="0"/>
                <w:i w:val="0"/>
                <w:color w:val="000000"/>
                <w:sz w:val="13"/>
              </w:rPr>
              <w:t xml:space="preserve">2.58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2.58</w:t>
            </w:r>
          </w:p>
        </w:tc>
        <w:tc>
          <w:tcPr>
            <w:tcW w:w="960" w:type="dxa"/>
            <w:tcBorders/>
            <w:vAlign w:val="center"/>
          </w:tcPr>
          <w:p>
            <w:pPr>
              <w:jc w:val="right"/>
            </w:pPr>
            <w:r>
              <w:rPr>
                <w:rFonts w:ascii="宋体" w:eastAsia="宋体" w:hAnsi="宋体" w:cs="宋体"/>
                <w:b w:val="0"/>
                <w:i w:val="0"/>
                <w:color w:val="000000"/>
                <w:sz w:val="13"/>
              </w:rPr>
              <w:t xml:space="preserve">2.58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2.58</w:t>
            </w:r>
          </w:p>
        </w:tc>
        <w:tc>
          <w:tcPr>
            <w:tcW w:w="960" w:type="dxa"/>
            <w:tcBorders/>
            <w:vAlign w:val="center"/>
          </w:tcPr>
          <w:p>
            <w:pPr>
              <w:jc w:val="right"/>
            </w:pPr>
            <w:r>
              <w:rPr>
                <w:rFonts w:ascii="宋体" w:eastAsia="宋体" w:hAnsi="宋体" w:cs="宋体"/>
                <w:b w:val="0"/>
                <w:i w:val="0"/>
                <w:color w:val="000000"/>
                <w:sz w:val="13"/>
              </w:rPr>
              <w:t xml:space="preserve">2.58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4.71</w:t>
            </w:r>
          </w:p>
        </w:tc>
        <w:tc>
          <w:tcPr>
            <w:tcW w:w="960" w:type="dxa"/>
            <w:tcBorders/>
            <w:vAlign w:val="center"/>
          </w:tcPr>
          <w:p>
            <w:pPr>
              <w:jc w:val="right"/>
            </w:pPr>
            <w:r>
              <w:rPr>
                <w:rFonts w:ascii="宋体" w:eastAsia="宋体" w:hAnsi="宋体" w:cs="宋体"/>
                <w:b w:val="0"/>
                <w:i w:val="0"/>
                <w:color w:val="000000"/>
                <w:sz w:val="13"/>
              </w:rPr>
              <w:t xml:space="preserve">4.71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4.71</w:t>
            </w:r>
          </w:p>
        </w:tc>
        <w:tc>
          <w:tcPr>
            <w:tcW w:w="960" w:type="dxa"/>
            <w:tcBorders/>
            <w:vAlign w:val="center"/>
          </w:tcPr>
          <w:p>
            <w:pPr>
              <w:jc w:val="right"/>
            </w:pPr>
            <w:r>
              <w:rPr>
                <w:rFonts w:ascii="宋体" w:eastAsia="宋体" w:hAnsi="宋体" w:cs="宋体"/>
                <w:b w:val="0"/>
                <w:i w:val="0"/>
                <w:color w:val="000000"/>
                <w:sz w:val="13"/>
              </w:rPr>
              <w:t xml:space="preserve">4.71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4.71</w:t>
            </w:r>
          </w:p>
        </w:tc>
        <w:tc>
          <w:tcPr>
            <w:tcW w:w="960" w:type="dxa"/>
            <w:tcBorders/>
            <w:vAlign w:val="center"/>
          </w:tcPr>
          <w:p>
            <w:pPr>
              <w:jc w:val="right"/>
            </w:pPr>
            <w:r>
              <w:rPr>
                <w:rFonts w:ascii="宋体" w:eastAsia="宋体" w:hAnsi="宋体" w:cs="宋体"/>
                <w:b w:val="0"/>
                <w:i w:val="0"/>
                <w:color w:val="000000"/>
                <w:sz w:val="13"/>
              </w:rPr>
              <w:t xml:space="preserve">4.71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单位：辽宁省沈阳市浑南区统战事务服务中心（沈阳市浑南区民族宗教事务服务中心）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49.70</w:t>
            </w:r>
          </w:p>
        </w:tc>
        <w:tc>
          <w:tcPr>
            <w:tcW w:w="1060" w:type="dxa"/>
            <w:tcBorders/>
            <w:vAlign w:val="center"/>
          </w:tcPr>
          <w:p>
            <w:pPr>
              <w:jc w:val="right"/>
            </w:pPr>
            <w:r>
              <w:rPr>
                <w:rFonts w:ascii="宋体" w:eastAsia="宋体" w:hAnsi="宋体" w:cs="宋体"/>
                <w:b/>
                <w:i w:val="0"/>
                <w:color w:val="000000"/>
                <w:sz w:val="14"/>
              </w:rPr>
              <w:t xml:space="preserve">49.39</w:t>
            </w:r>
          </w:p>
        </w:tc>
        <w:tc>
          <w:tcPr>
            <w:tcW w:w="1060" w:type="dxa"/>
            <w:tcBorders/>
            <w:vAlign w:val="center"/>
          </w:tcPr>
          <w:p>
            <w:pPr>
              <w:jc w:val="right"/>
            </w:pPr>
            <w:r>
              <w:rPr>
                <w:rFonts w:ascii="宋体" w:eastAsia="宋体" w:hAnsi="宋体" w:cs="宋体"/>
                <w:b/>
                <w:i w:val="0"/>
                <w:color w:val="000000"/>
                <w:sz w:val="14"/>
              </w:rPr>
              <w:t xml:space="preserve">0.31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37.26</w:t>
            </w:r>
          </w:p>
        </w:tc>
        <w:tc>
          <w:tcPr>
            <w:tcW w:w="1060" w:type="dxa"/>
            <w:tcBorders/>
            <w:vAlign w:val="center"/>
          </w:tcPr>
          <w:p>
            <w:pPr>
              <w:jc w:val="right"/>
            </w:pPr>
            <w:r>
              <w:rPr>
                <w:rFonts w:ascii="宋体" w:eastAsia="宋体" w:hAnsi="宋体" w:cs="宋体"/>
                <w:b w:val="0"/>
                <w:i w:val="0"/>
                <w:color w:val="000000"/>
                <w:sz w:val="14"/>
              </w:rPr>
              <w:t xml:space="preserve">36.95</w:t>
            </w:r>
          </w:p>
        </w:tc>
        <w:tc>
          <w:tcPr>
            <w:tcW w:w="1060" w:type="dxa"/>
            <w:tcBorders/>
            <w:vAlign w:val="center"/>
          </w:tcPr>
          <w:p>
            <w:pPr>
              <w:jc w:val="right"/>
            </w:pPr>
            <w:r>
              <w:rPr>
                <w:rFonts w:ascii="宋体" w:eastAsia="宋体" w:hAnsi="宋体" w:cs="宋体"/>
                <w:b w:val="0"/>
                <w:i w:val="0"/>
                <w:color w:val="000000"/>
                <w:sz w:val="14"/>
              </w:rPr>
              <w:t xml:space="preserve">0.31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20134</w:t>
            </w:r>
          </w:p>
        </w:tc>
        <w:tc>
          <w:tcPr>
            <w:tcW w:w="3440" w:type="dxa"/>
            <w:tcBorders/>
            <w:vAlign w:val="center"/>
          </w:tcPr>
          <w:p>
            <w:pPr>
              <w:jc w:val="left"/>
            </w:pPr>
            <w:r>
              <w:rPr>
                <w:rFonts w:ascii="宋体" w:eastAsia="宋体" w:hAnsi="宋体" w:cs="宋体"/>
                <w:b w:val="0"/>
                <w:i w:val="0"/>
                <w:color w:val="000000"/>
                <w:sz w:val="14"/>
              </w:rPr>
              <w:t xml:space="preserve">统战事务</w:t>
            </w:r>
          </w:p>
        </w:tc>
        <w:tc>
          <w:tcPr>
            <w:tcW w:w="1060" w:type="dxa"/>
            <w:tcBorders/>
            <w:vAlign w:val="center"/>
          </w:tcPr>
          <w:p>
            <w:pPr>
              <w:jc w:val="right"/>
            </w:pPr>
            <w:r>
              <w:rPr>
                <w:rFonts w:ascii="宋体" w:eastAsia="宋体" w:hAnsi="宋体" w:cs="宋体"/>
                <w:b w:val="0"/>
                <w:i w:val="0"/>
                <w:color w:val="000000"/>
                <w:sz w:val="14"/>
              </w:rPr>
              <w:t xml:space="preserve">37.26</w:t>
            </w:r>
          </w:p>
        </w:tc>
        <w:tc>
          <w:tcPr>
            <w:tcW w:w="1060" w:type="dxa"/>
            <w:tcBorders/>
            <w:vAlign w:val="center"/>
          </w:tcPr>
          <w:p>
            <w:pPr>
              <w:jc w:val="right"/>
            </w:pPr>
            <w:r>
              <w:rPr>
                <w:rFonts w:ascii="宋体" w:eastAsia="宋体" w:hAnsi="宋体" w:cs="宋体"/>
                <w:b w:val="0"/>
                <w:i w:val="0"/>
                <w:color w:val="000000"/>
                <w:sz w:val="14"/>
              </w:rPr>
              <w:t xml:space="preserve">36.95</w:t>
            </w:r>
          </w:p>
        </w:tc>
        <w:tc>
          <w:tcPr>
            <w:tcW w:w="1060" w:type="dxa"/>
            <w:tcBorders/>
            <w:vAlign w:val="center"/>
          </w:tcPr>
          <w:p>
            <w:pPr>
              <w:jc w:val="right"/>
            </w:pPr>
            <w:r>
              <w:rPr>
                <w:rFonts w:ascii="宋体" w:eastAsia="宋体" w:hAnsi="宋体" w:cs="宋体"/>
                <w:b w:val="0"/>
                <w:i w:val="0"/>
                <w:color w:val="000000"/>
                <w:sz w:val="14"/>
              </w:rPr>
              <w:t xml:space="preserve">0.31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2013450</w:t>
            </w:r>
          </w:p>
        </w:tc>
        <w:tc>
          <w:tcPr>
            <w:tcW w:w="3440" w:type="dxa"/>
            <w:tcBorders/>
            <w:vAlign w:val="center"/>
          </w:tcPr>
          <w:p>
            <w:pPr>
              <w:jc w:val="left"/>
            </w:pPr>
            <w:r>
              <w:rPr>
                <w:rFonts w:ascii="宋体" w:eastAsia="宋体" w:hAnsi="宋体" w:cs="宋体"/>
                <w:b w:val="0"/>
                <w:i w:val="0"/>
                <w:color w:val="000000"/>
                <w:sz w:val="14"/>
              </w:rPr>
              <w:t xml:space="preserve">事业运行</w:t>
            </w:r>
          </w:p>
        </w:tc>
        <w:tc>
          <w:tcPr>
            <w:tcW w:w="1060" w:type="dxa"/>
            <w:tcBorders/>
            <w:vAlign w:val="center"/>
          </w:tcPr>
          <w:p>
            <w:pPr>
              <w:jc w:val="right"/>
            </w:pPr>
            <w:r>
              <w:rPr>
                <w:rFonts w:ascii="宋体" w:eastAsia="宋体" w:hAnsi="宋体" w:cs="宋体"/>
                <w:b w:val="0"/>
                <w:i w:val="0"/>
                <w:color w:val="000000"/>
                <w:sz w:val="14"/>
              </w:rPr>
              <w:t xml:space="preserve">36.95</w:t>
            </w:r>
          </w:p>
        </w:tc>
        <w:tc>
          <w:tcPr>
            <w:tcW w:w="1060" w:type="dxa"/>
            <w:tcBorders/>
            <w:vAlign w:val="center"/>
          </w:tcPr>
          <w:p>
            <w:pPr>
              <w:jc w:val="right"/>
            </w:pPr>
            <w:r>
              <w:rPr>
                <w:rFonts w:ascii="宋体" w:eastAsia="宋体" w:hAnsi="宋体" w:cs="宋体"/>
                <w:b w:val="0"/>
                <w:i w:val="0"/>
                <w:color w:val="000000"/>
                <w:sz w:val="14"/>
              </w:rPr>
              <w:t xml:space="preserve">36.95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2013499</w:t>
            </w:r>
          </w:p>
        </w:tc>
        <w:tc>
          <w:tcPr>
            <w:tcW w:w="3440" w:type="dxa"/>
            <w:tcBorders/>
            <w:vAlign w:val="center"/>
          </w:tcPr>
          <w:p>
            <w:pPr>
              <w:jc w:val="left"/>
            </w:pPr>
            <w:r>
              <w:rPr>
                <w:rFonts w:ascii="宋体" w:eastAsia="宋体" w:hAnsi="宋体" w:cs="宋体"/>
                <w:b w:val="0"/>
                <w:i w:val="0"/>
                <w:color w:val="000000"/>
                <w:sz w:val="14"/>
              </w:rPr>
              <w:t xml:space="preserve">其他统战事务支出</w:t>
            </w:r>
          </w:p>
        </w:tc>
        <w:tc>
          <w:tcPr>
            <w:tcW w:w="1060" w:type="dxa"/>
            <w:tcBorders/>
            <w:vAlign w:val="center"/>
          </w:tcPr>
          <w:p>
            <w:pPr>
              <w:jc w:val="right"/>
            </w:pPr>
            <w:r>
              <w:rPr>
                <w:rFonts w:ascii="宋体" w:eastAsia="宋体" w:hAnsi="宋体" w:cs="宋体"/>
                <w:b w:val="0"/>
                <w:i w:val="0"/>
                <w:color w:val="000000"/>
                <w:sz w:val="14"/>
              </w:rPr>
              <w:t xml:space="preserve">0.31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0.31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5.16</w:t>
            </w:r>
          </w:p>
        </w:tc>
        <w:tc>
          <w:tcPr>
            <w:tcW w:w="1060" w:type="dxa"/>
            <w:tcBorders/>
            <w:vAlign w:val="center"/>
          </w:tcPr>
          <w:p>
            <w:pPr>
              <w:jc w:val="right"/>
            </w:pPr>
            <w:r>
              <w:rPr>
                <w:rFonts w:ascii="宋体" w:eastAsia="宋体" w:hAnsi="宋体" w:cs="宋体"/>
                <w:b w:val="0"/>
                <w:i w:val="0"/>
                <w:color w:val="000000"/>
                <w:sz w:val="14"/>
              </w:rPr>
              <w:t xml:space="preserve">5.16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5.16</w:t>
            </w:r>
          </w:p>
        </w:tc>
        <w:tc>
          <w:tcPr>
            <w:tcW w:w="1060" w:type="dxa"/>
            <w:tcBorders/>
            <w:vAlign w:val="center"/>
          </w:tcPr>
          <w:p>
            <w:pPr>
              <w:jc w:val="right"/>
            </w:pPr>
            <w:r>
              <w:rPr>
                <w:rFonts w:ascii="宋体" w:eastAsia="宋体" w:hAnsi="宋体" w:cs="宋体"/>
                <w:b w:val="0"/>
                <w:i w:val="0"/>
                <w:color w:val="000000"/>
                <w:sz w:val="14"/>
              </w:rPr>
              <w:t xml:space="preserve">5.16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5.16</w:t>
            </w:r>
          </w:p>
        </w:tc>
        <w:tc>
          <w:tcPr>
            <w:tcW w:w="1060" w:type="dxa"/>
            <w:tcBorders/>
            <w:vAlign w:val="center"/>
          </w:tcPr>
          <w:p>
            <w:pPr>
              <w:jc w:val="right"/>
            </w:pPr>
            <w:r>
              <w:rPr>
                <w:rFonts w:ascii="宋体" w:eastAsia="宋体" w:hAnsi="宋体" w:cs="宋体"/>
                <w:b w:val="0"/>
                <w:i w:val="0"/>
                <w:color w:val="000000"/>
                <w:sz w:val="14"/>
              </w:rPr>
              <w:t xml:space="preserve">5.16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2.58</w:t>
            </w:r>
          </w:p>
        </w:tc>
        <w:tc>
          <w:tcPr>
            <w:tcW w:w="1060" w:type="dxa"/>
            <w:tcBorders/>
            <w:vAlign w:val="center"/>
          </w:tcPr>
          <w:p>
            <w:pPr>
              <w:jc w:val="right"/>
            </w:pPr>
            <w:r>
              <w:rPr>
                <w:rFonts w:ascii="宋体" w:eastAsia="宋体" w:hAnsi="宋体" w:cs="宋体"/>
                <w:b w:val="0"/>
                <w:i w:val="0"/>
                <w:color w:val="000000"/>
                <w:sz w:val="14"/>
              </w:rPr>
              <w:t xml:space="preserve">2.58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2.58</w:t>
            </w:r>
          </w:p>
        </w:tc>
        <w:tc>
          <w:tcPr>
            <w:tcW w:w="1060" w:type="dxa"/>
            <w:tcBorders/>
            <w:vAlign w:val="center"/>
          </w:tcPr>
          <w:p>
            <w:pPr>
              <w:jc w:val="right"/>
            </w:pPr>
            <w:r>
              <w:rPr>
                <w:rFonts w:ascii="宋体" w:eastAsia="宋体" w:hAnsi="宋体" w:cs="宋体"/>
                <w:b w:val="0"/>
                <w:i w:val="0"/>
                <w:color w:val="000000"/>
                <w:sz w:val="14"/>
              </w:rPr>
              <w:t xml:space="preserve">2.58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2.58</w:t>
            </w:r>
          </w:p>
        </w:tc>
        <w:tc>
          <w:tcPr>
            <w:tcW w:w="1060" w:type="dxa"/>
            <w:tcBorders/>
            <w:vAlign w:val="center"/>
          </w:tcPr>
          <w:p>
            <w:pPr>
              <w:jc w:val="right"/>
            </w:pPr>
            <w:r>
              <w:rPr>
                <w:rFonts w:ascii="宋体" w:eastAsia="宋体" w:hAnsi="宋体" w:cs="宋体"/>
                <w:b w:val="0"/>
                <w:i w:val="0"/>
                <w:color w:val="000000"/>
                <w:sz w:val="14"/>
              </w:rPr>
              <w:t xml:space="preserve">2.58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4.71</w:t>
            </w:r>
          </w:p>
        </w:tc>
        <w:tc>
          <w:tcPr>
            <w:tcW w:w="1060" w:type="dxa"/>
            <w:tcBorders/>
            <w:vAlign w:val="center"/>
          </w:tcPr>
          <w:p>
            <w:pPr>
              <w:jc w:val="right"/>
            </w:pPr>
            <w:r>
              <w:rPr>
                <w:rFonts w:ascii="宋体" w:eastAsia="宋体" w:hAnsi="宋体" w:cs="宋体"/>
                <w:b w:val="0"/>
                <w:i w:val="0"/>
                <w:color w:val="000000"/>
                <w:sz w:val="14"/>
              </w:rPr>
              <w:t xml:space="preserve">4.71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4.71</w:t>
            </w:r>
          </w:p>
        </w:tc>
        <w:tc>
          <w:tcPr>
            <w:tcW w:w="1060" w:type="dxa"/>
            <w:tcBorders/>
            <w:vAlign w:val="center"/>
          </w:tcPr>
          <w:p>
            <w:pPr>
              <w:jc w:val="right"/>
            </w:pPr>
            <w:r>
              <w:rPr>
                <w:rFonts w:ascii="宋体" w:eastAsia="宋体" w:hAnsi="宋体" w:cs="宋体"/>
                <w:b w:val="0"/>
                <w:i w:val="0"/>
                <w:color w:val="000000"/>
                <w:sz w:val="14"/>
              </w:rPr>
              <w:t xml:space="preserve">4.71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4.71</w:t>
            </w:r>
          </w:p>
        </w:tc>
        <w:tc>
          <w:tcPr>
            <w:tcW w:w="1060" w:type="dxa"/>
            <w:tcBorders/>
            <w:vAlign w:val="center"/>
          </w:tcPr>
          <w:p>
            <w:pPr>
              <w:jc w:val="right"/>
            </w:pPr>
            <w:r>
              <w:rPr>
                <w:rFonts w:ascii="宋体" w:eastAsia="宋体" w:hAnsi="宋体" w:cs="宋体"/>
                <w:b w:val="0"/>
                <w:i w:val="0"/>
                <w:color w:val="000000"/>
                <w:sz w:val="14"/>
              </w:rPr>
              <w:t xml:space="preserve">4.71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单位：辽宁省沈阳市浑南区统战事务服务中心（沈阳市浑南区民族宗教事务服务中心）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49.70</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37.26</w:t>
            </w:r>
          </w:p>
        </w:tc>
        <w:tc>
          <w:tcPr>
            <w:tcW w:w="1100" w:type="dxa"/>
            <w:tcBorders/>
            <w:vAlign w:val="center"/>
          </w:tcPr>
          <w:p>
            <w:pPr>
              <w:jc w:val="right"/>
            </w:pPr>
            <w:r>
              <w:rPr>
                <w:rFonts w:ascii="宋体" w:eastAsia="宋体" w:hAnsi="宋体" w:cs="宋体"/>
                <w:b w:val="0"/>
                <w:i w:val="0"/>
                <w:color w:val="000000"/>
                <w:sz w:val="14"/>
              </w:rPr>
              <w:t xml:space="preserve">37.26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5.16</w:t>
            </w:r>
          </w:p>
        </w:tc>
        <w:tc>
          <w:tcPr>
            <w:tcW w:w="1100" w:type="dxa"/>
            <w:tcBorders/>
            <w:vAlign w:val="center"/>
          </w:tcPr>
          <w:p>
            <w:pPr>
              <w:jc w:val="right"/>
            </w:pPr>
            <w:r>
              <w:rPr>
                <w:rFonts w:ascii="宋体" w:eastAsia="宋体" w:hAnsi="宋体" w:cs="宋体"/>
                <w:b w:val="0"/>
                <w:i w:val="0"/>
                <w:color w:val="000000"/>
                <w:sz w:val="14"/>
              </w:rPr>
              <w:t xml:space="preserve">5.16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2.58</w:t>
            </w:r>
          </w:p>
        </w:tc>
        <w:tc>
          <w:tcPr>
            <w:tcW w:w="1100" w:type="dxa"/>
            <w:tcBorders/>
            <w:vAlign w:val="center"/>
          </w:tcPr>
          <w:p>
            <w:pPr>
              <w:jc w:val="right"/>
            </w:pPr>
            <w:r>
              <w:rPr>
                <w:rFonts w:ascii="宋体" w:eastAsia="宋体" w:hAnsi="宋体" w:cs="宋体"/>
                <w:b w:val="0"/>
                <w:i w:val="0"/>
                <w:color w:val="000000"/>
                <w:sz w:val="14"/>
              </w:rPr>
              <w:t xml:space="preserve">2.58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4.71</w:t>
            </w:r>
          </w:p>
        </w:tc>
        <w:tc>
          <w:tcPr>
            <w:tcW w:w="1100" w:type="dxa"/>
            <w:tcBorders/>
            <w:vAlign w:val="center"/>
          </w:tcPr>
          <w:p>
            <w:pPr>
              <w:jc w:val="right"/>
            </w:pPr>
            <w:r>
              <w:rPr>
                <w:rFonts w:ascii="宋体" w:eastAsia="宋体" w:hAnsi="宋体" w:cs="宋体"/>
                <w:b w:val="0"/>
                <w:i w:val="0"/>
                <w:color w:val="000000"/>
                <w:sz w:val="14"/>
              </w:rPr>
              <w:t xml:space="preserve">4.71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49.70</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49.70</w:t>
            </w:r>
          </w:p>
        </w:tc>
        <w:tc>
          <w:tcPr>
            <w:tcW w:w="1100" w:type="dxa"/>
            <w:tcBorders/>
            <w:vAlign w:val="center"/>
          </w:tcPr>
          <w:p>
            <w:pPr>
              <w:jc w:val="right"/>
            </w:pPr>
            <w:r>
              <w:rPr>
                <w:rFonts w:ascii="宋体" w:eastAsia="宋体" w:hAnsi="宋体" w:cs="宋体"/>
                <w:b w:val="0"/>
                <w:i w:val="0"/>
                <w:color w:val="000000"/>
                <w:sz w:val="14"/>
              </w:rPr>
              <w:t xml:space="preserve">49.70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49.70</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49.70</w:t>
            </w:r>
          </w:p>
        </w:tc>
        <w:tc>
          <w:tcPr>
            <w:tcW w:w="1100" w:type="dxa"/>
            <w:tcBorders/>
            <w:vAlign w:val="center"/>
          </w:tcPr>
          <w:p>
            <w:pPr>
              <w:jc w:val="right"/>
            </w:pPr>
            <w:r>
              <w:rPr>
                <w:rFonts w:ascii="宋体" w:eastAsia="宋体" w:hAnsi="宋体" w:cs="宋体"/>
                <w:b w:val="0"/>
                <w:i w:val="0"/>
                <w:color w:val="000000"/>
                <w:sz w:val="14"/>
              </w:rPr>
              <w:t xml:space="preserve">49.70</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单位：辽宁省沈阳市浑南区统战事务服务中心（沈阳市浑南区民族宗教事务服务中心）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49.70</w:t>
            </w:r>
          </w:p>
        </w:tc>
        <w:tc>
          <w:tcPr>
            <w:tcW w:w="1780" w:type="dxa"/>
            <w:tcBorders/>
            <w:vAlign w:val="center"/>
          </w:tcPr>
          <w:p>
            <w:pPr>
              <w:jc w:val="right"/>
            </w:pPr>
            <w:r>
              <w:rPr>
                <w:rFonts w:ascii="宋体" w:eastAsia="宋体" w:hAnsi="宋体" w:cs="宋体"/>
                <w:b/>
                <w:i w:val="0"/>
                <w:color w:val="000000"/>
                <w:sz w:val="18"/>
              </w:rPr>
              <w:t xml:space="preserve">49.39</w:t>
            </w:r>
          </w:p>
        </w:tc>
        <w:tc>
          <w:tcPr>
            <w:tcW w:w="1772" w:type="dxa"/>
            <w:tcBorders/>
            <w:vAlign w:val="center"/>
          </w:tcPr>
          <w:p>
            <w:pPr>
              <w:jc w:val="right"/>
            </w:pPr>
            <w:r>
              <w:rPr>
                <w:rFonts w:ascii="宋体" w:eastAsia="宋体" w:hAnsi="宋体" w:cs="宋体"/>
                <w:b/>
                <w:i w:val="0"/>
                <w:color w:val="000000"/>
                <w:sz w:val="18"/>
              </w:rPr>
              <w:t xml:space="preserve">0.31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37.26</w:t>
            </w:r>
          </w:p>
        </w:tc>
        <w:tc>
          <w:tcPr>
            <w:tcW w:w="1780" w:type="dxa"/>
            <w:tcBorders/>
            <w:vAlign w:val="center"/>
          </w:tcPr>
          <w:p>
            <w:pPr>
              <w:jc w:val="right"/>
            </w:pPr>
            <w:r>
              <w:rPr>
                <w:rFonts w:ascii="宋体" w:eastAsia="宋体" w:hAnsi="宋体" w:cs="宋体"/>
                <w:b w:val="0"/>
                <w:i w:val="0"/>
                <w:color w:val="000000"/>
                <w:sz w:val="18"/>
              </w:rPr>
              <w:t xml:space="preserve">36.95</w:t>
            </w:r>
          </w:p>
        </w:tc>
        <w:tc>
          <w:tcPr>
            <w:tcW w:w="1772" w:type="dxa"/>
            <w:tcBorders/>
            <w:vAlign w:val="center"/>
          </w:tcPr>
          <w:p>
            <w:pPr>
              <w:jc w:val="right"/>
            </w:pPr>
            <w:r>
              <w:rPr>
                <w:rFonts w:ascii="宋体" w:eastAsia="宋体" w:hAnsi="宋体" w:cs="宋体"/>
                <w:b w:val="0"/>
                <w:i w:val="0"/>
                <w:color w:val="000000"/>
                <w:sz w:val="18"/>
              </w:rPr>
              <w:t xml:space="preserve">0.31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20134</w:t>
            </w:r>
          </w:p>
        </w:tc>
        <w:tc>
          <w:tcPr>
            <w:tcW w:w="4300" w:type="dxa"/>
            <w:tcBorders/>
            <w:vAlign w:val="center"/>
          </w:tcPr>
          <w:p>
            <w:pPr>
              <w:jc w:val="left"/>
            </w:pPr>
            <w:r>
              <w:rPr>
                <w:rFonts w:ascii="宋体" w:eastAsia="宋体" w:hAnsi="宋体" w:cs="宋体"/>
                <w:b w:val="0"/>
                <w:i w:val="0"/>
                <w:color w:val="000000"/>
                <w:sz w:val="18"/>
              </w:rPr>
              <w:t xml:space="preserve">统战事务</w:t>
            </w:r>
          </w:p>
        </w:tc>
        <w:tc>
          <w:tcPr>
            <w:tcW w:w="1780" w:type="dxa"/>
            <w:tcBorders/>
            <w:vAlign w:val="center"/>
          </w:tcPr>
          <w:p>
            <w:pPr>
              <w:jc w:val="right"/>
            </w:pPr>
            <w:r>
              <w:rPr>
                <w:rFonts w:ascii="宋体" w:eastAsia="宋体" w:hAnsi="宋体" w:cs="宋体"/>
                <w:b w:val="0"/>
                <w:i w:val="0"/>
                <w:color w:val="000000"/>
                <w:sz w:val="18"/>
              </w:rPr>
              <w:t xml:space="preserve">37.26</w:t>
            </w:r>
          </w:p>
        </w:tc>
        <w:tc>
          <w:tcPr>
            <w:tcW w:w="1780" w:type="dxa"/>
            <w:tcBorders/>
            <w:vAlign w:val="center"/>
          </w:tcPr>
          <w:p>
            <w:pPr>
              <w:jc w:val="right"/>
            </w:pPr>
            <w:r>
              <w:rPr>
                <w:rFonts w:ascii="宋体" w:eastAsia="宋体" w:hAnsi="宋体" w:cs="宋体"/>
                <w:b w:val="0"/>
                <w:i w:val="0"/>
                <w:color w:val="000000"/>
                <w:sz w:val="18"/>
              </w:rPr>
              <w:t xml:space="preserve">36.95</w:t>
            </w:r>
          </w:p>
        </w:tc>
        <w:tc>
          <w:tcPr>
            <w:tcW w:w="1772" w:type="dxa"/>
            <w:tcBorders/>
            <w:vAlign w:val="center"/>
          </w:tcPr>
          <w:p>
            <w:pPr>
              <w:jc w:val="right"/>
            </w:pPr>
            <w:r>
              <w:rPr>
                <w:rFonts w:ascii="宋体" w:eastAsia="宋体" w:hAnsi="宋体" w:cs="宋体"/>
                <w:b w:val="0"/>
                <w:i w:val="0"/>
                <w:color w:val="000000"/>
                <w:sz w:val="18"/>
              </w:rPr>
              <w:t xml:space="preserve">0.31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2013450</w:t>
            </w:r>
          </w:p>
        </w:tc>
        <w:tc>
          <w:tcPr>
            <w:tcW w:w="4300" w:type="dxa"/>
            <w:tcBorders/>
            <w:vAlign w:val="center"/>
          </w:tcPr>
          <w:p>
            <w:pPr>
              <w:jc w:val="left"/>
            </w:pPr>
            <w:r>
              <w:rPr>
                <w:rFonts w:ascii="宋体" w:eastAsia="宋体" w:hAnsi="宋体" w:cs="宋体"/>
                <w:b w:val="0"/>
                <w:i w:val="0"/>
                <w:color w:val="000000"/>
                <w:sz w:val="18"/>
              </w:rPr>
              <w:t xml:space="preserve">事业运行</w:t>
            </w:r>
          </w:p>
        </w:tc>
        <w:tc>
          <w:tcPr>
            <w:tcW w:w="1780" w:type="dxa"/>
            <w:tcBorders/>
            <w:vAlign w:val="center"/>
          </w:tcPr>
          <w:p>
            <w:pPr>
              <w:jc w:val="right"/>
            </w:pPr>
            <w:r>
              <w:rPr>
                <w:rFonts w:ascii="宋体" w:eastAsia="宋体" w:hAnsi="宋体" w:cs="宋体"/>
                <w:b w:val="0"/>
                <w:i w:val="0"/>
                <w:color w:val="000000"/>
                <w:sz w:val="18"/>
              </w:rPr>
              <w:t xml:space="preserve">36.95</w:t>
            </w:r>
          </w:p>
        </w:tc>
        <w:tc>
          <w:tcPr>
            <w:tcW w:w="1780" w:type="dxa"/>
            <w:tcBorders/>
            <w:vAlign w:val="center"/>
          </w:tcPr>
          <w:p>
            <w:pPr>
              <w:jc w:val="right"/>
            </w:pPr>
            <w:r>
              <w:rPr>
                <w:rFonts w:ascii="宋体" w:eastAsia="宋体" w:hAnsi="宋体" w:cs="宋体"/>
                <w:b w:val="0"/>
                <w:i w:val="0"/>
                <w:color w:val="000000"/>
                <w:sz w:val="18"/>
              </w:rPr>
              <w:t xml:space="preserve">36.95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2013499</w:t>
            </w:r>
          </w:p>
        </w:tc>
        <w:tc>
          <w:tcPr>
            <w:tcW w:w="4300" w:type="dxa"/>
            <w:tcBorders/>
            <w:vAlign w:val="center"/>
          </w:tcPr>
          <w:p>
            <w:pPr>
              <w:jc w:val="left"/>
            </w:pPr>
            <w:r>
              <w:rPr>
                <w:rFonts w:ascii="宋体" w:eastAsia="宋体" w:hAnsi="宋体" w:cs="宋体"/>
                <w:b w:val="0"/>
                <w:i w:val="0"/>
                <w:color w:val="000000"/>
                <w:sz w:val="18"/>
              </w:rPr>
              <w:t xml:space="preserve">其他统战事务支出</w:t>
            </w:r>
          </w:p>
        </w:tc>
        <w:tc>
          <w:tcPr>
            <w:tcW w:w="1780" w:type="dxa"/>
            <w:tcBorders/>
            <w:vAlign w:val="center"/>
          </w:tcPr>
          <w:p>
            <w:pPr>
              <w:jc w:val="right"/>
            </w:pPr>
            <w:r>
              <w:rPr>
                <w:rFonts w:ascii="宋体" w:eastAsia="宋体" w:hAnsi="宋体" w:cs="宋体"/>
                <w:b w:val="0"/>
                <w:i w:val="0"/>
                <w:color w:val="000000"/>
                <w:sz w:val="18"/>
              </w:rPr>
              <w:t xml:space="preserve">0.31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0.31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5.16</w:t>
            </w:r>
          </w:p>
        </w:tc>
        <w:tc>
          <w:tcPr>
            <w:tcW w:w="1780" w:type="dxa"/>
            <w:tcBorders/>
            <w:vAlign w:val="center"/>
          </w:tcPr>
          <w:p>
            <w:pPr>
              <w:jc w:val="right"/>
            </w:pPr>
            <w:r>
              <w:rPr>
                <w:rFonts w:ascii="宋体" w:eastAsia="宋体" w:hAnsi="宋体" w:cs="宋体"/>
                <w:b w:val="0"/>
                <w:i w:val="0"/>
                <w:color w:val="000000"/>
                <w:sz w:val="18"/>
              </w:rPr>
              <w:t xml:space="preserve">5.16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5.16</w:t>
            </w:r>
          </w:p>
        </w:tc>
        <w:tc>
          <w:tcPr>
            <w:tcW w:w="1780" w:type="dxa"/>
            <w:tcBorders/>
            <w:vAlign w:val="center"/>
          </w:tcPr>
          <w:p>
            <w:pPr>
              <w:jc w:val="right"/>
            </w:pPr>
            <w:r>
              <w:rPr>
                <w:rFonts w:ascii="宋体" w:eastAsia="宋体" w:hAnsi="宋体" w:cs="宋体"/>
                <w:b w:val="0"/>
                <w:i w:val="0"/>
                <w:color w:val="000000"/>
                <w:sz w:val="18"/>
              </w:rPr>
              <w:t xml:space="preserve">5.16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5.16</w:t>
            </w:r>
          </w:p>
        </w:tc>
        <w:tc>
          <w:tcPr>
            <w:tcW w:w="1780" w:type="dxa"/>
            <w:tcBorders/>
            <w:vAlign w:val="center"/>
          </w:tcPr>
          <w:p>
            <w:pPr>
              <w:jc w:val="right"/>
            </w:pPr>
            <w:r>
              <w:rPr>
                <w:rFonts w:ascii="宋体" w:eastAsia="宋体" w:hAnsi="宋体" w:cs="宋体"/>
                <w:b w:val="0"/>
                <w:i w:val="0"/>
                <w:color w:val="000000"/>
                <w:sz w:val="18"/>
              </w:rPr>
              <w:t xml:space="preserve">5.16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2.58</w:t>
            </w:r>
          </w:p>
        </w:tc>
        <w:tc>
          <w:tcPr>
            <w:tcW w:w="1780" w:type="dxa"/>
            <w:tcBorders/>
            <w:vAlign w:val="center"/>
          </w:tcPr>
          <w:p>
            <w:pPr>
              <w:jc w:val="right"/>
            </w:pPr>
            <w:r>
              <w:rPr>
                <w:rFonts w:ascii="宋体" w:eastAsia="宋体" w:hAnsi="宋体" w:cs="宋体"/>
                <w:b w:val="0"/>
                <w:i w:val="0"/>
                <w:color w:val="000000"/>
                <w:sz w:val="18"/>
              </w:rPr>
              <w:t xml:space="preserve">2.58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2.58</w:t>
            </w:r>
          </w:p>
        </w:tc>
        <w:tc>
          <w:tcPr>
            <w:tcW w:w="1780" w:type="dxa"/>
            <w:tcBorders/>
            <w:vAlign w:val="center"/>
          </w:tcPr>
          <w:p>
            <w:pPr>
              <w:jc w:val="right"/>
            </w:pPr>
            <w:r>
              <w:rPr>
                <w:rFonts w:ascii="宋体" w:eastAsia="宋体" w:hAnsi="宋体" w:cs="宋体"/>
                <w:b w:val="0"/>
                <w:i w:val="0"/>
                <w:color w:val="000000"/>
                <w:sz w:val="18"/>
              </w:rPr>
              <w:t xml:space="preserve">2.58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2.58</w:t>
            </w:r>
          </w:p>
        </w:tc>
        <w:tc>
          <w:tcPr>
            <w:tcW w:w="1780" w:type="dxa"/>
            <w:tcBorders/>
            <w:vAlign w:val="center"/>
          </w:tcPr>
          <w:p>
            <w:pPr>
              <w:jc w:val="right"/>
            </w:pPr>
            <w:r>
              <w:rPr>
                <w:rFonts w:ascii="宋体" w:eastAsia="宋体" w:hAnsi="宋体" w:cs="宋体"/>
                <w:b w:val="0"/>
                <w:i w:val="0"/>
                <w:color w:val="000000"/>
                <w:sz w:val="18"/>
              </w:rPr>
              <w:t xml:space="preserve">2.58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4.71</w:t>
            </w:r>
          </w:p>
        </w:tc>
        <w:tc>
          <w:tcPr>
            <w:tcW w:w="1780" w:type="dxa"/>
            <w:tcBorders/>
            <w:vAlign w:val="center"/>
          </w:tcPr>
          <w:p>
            <w:pPr>
              <w:jc w:val="right"/>
            </w:pPr>
            <w:r>
              <w:rPr>
                <w:rFonts w:ascii="宋体" w:eastAsia="宋体" w:hAnsi="宋体" w:cs="宋体"/>
                <w:b w:val="0"/>
                <w:i w:val="0"/>
                <w:color w:val="000000"/>
                <w:sz w:val="18"/>
              </w:rPr>
              <w:t xml:space="preserve">4.71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4.71</w:t>
            </w:r>
          </w:p>
        </w:tc>
        <w:tc>
          <w:tcPr>
            <w:tcW w:w="1780" w:type="dxa"/>
            <w:tcBorders/>
            <w:vAlign w:val="center"/>
          </w:tcPr>
          <w:p>
            <w:pPr>
              <w:jc w:val="right"/>
            </w:pPr>
            <w:r>
              <w:rPr>
                <w:rFonts w:ascii="宋体" w:eastAsia="宋体" w:hAnsi="宋体" w:cs="宋体"/>
                <w:b w:val="0"/>
                <w:i w:val="0"/>
                <w:color w:val="000000"/>
                <w:sz w:val="18"/>
              </w:rPr>
              <w:t xml:space="preserve">4.71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4.71</w:t>
            </w:r>
          </w:p>
        </w:tc>
        <w:tc>
          <w:tcPr>
            <w:tcW w:w="1780" w:type="dxa"/>
            <w:tcBorders/>
            <w:vAlign w:val="center"/>
          </w:tcPr>
          <w:p>
            <w:pPr>
              <w:jc w:val="right"/>
            </w:pPr>
            <w:r>
              <w:rPr>
                <w:rFonts w:ascii="宋体" w:eastAsia="宋体" w:hAnsi="宋体" w:cs="宋体"/>
                <w:b w:val="0"/>
                <w:i w:val="0"/>
                <w:color w:val="000000"/>
                <w:sz w:val="18"/>
              </w:rPr>
              <w:t xml:space="preserve">4.71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单位：辽宁省沈阳市浑南区统战事务服务中心（沈阳市浑南区民族宗教事务服务中心）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45.99</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3.41</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12.98</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1.19</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0.88</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3.58</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1.56</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14.16</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5.16</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1.86</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2.58</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0.37</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4.71</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0.36</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45.99</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3.41</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单位：辽宁省沈阳市浑南区统战事务服务中心（沈阳市浑南区民族宗教事务服务中心）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单位：辽宁省沈阳市浑南区统战事务服务中心（沈阳市浑南区民族宗教事务服务中心）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单位：辽宁省沈阳市浑南区统战事务服务中心（沈阳市浑南区民族宗教事务服务中心）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008002沈阳市浑南区统战事务服务中心-210112000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38.74</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38.74</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35.13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35.13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10.85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10.85</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保证2024年人员经费开支和各项工作运转</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保证2024年人员经费开支和各项工作运转</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平台及网络设备无障碍运行情况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运行良好</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服务企业满意度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主管部门满意度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上级主管部门满意度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建立绩效激励机制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激励机制</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绩效机制</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缴纳残疾人就业保障金（文行科）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中共沈阳市浑南区委统一战线工作部-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沈阳市浑南区统战事务服务中心-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87.37%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提高保障水平，完善管理机制，促进残疾人就业和加强社会支持。</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残保金在使用及促进残疾人就业方面取得了一定成效</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残疾人获补贴数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残疾人获补贴数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残疾人生活自理和社会参与能力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生活自理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残疾人健身周宣传覆盖率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7岁以下贫困残疾儿童生活补助救助补贴发放及时率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困难残疾人人均补贴标准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1710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1710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促进残疾人就业增收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贫困残疾人生活质量得到改善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98.74</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