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辽宁省沈阳市浑南区互联网舆情监测中心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辽宁省沈阳市浑南区互联网舆情监测中心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辽宁省沈阳市浑南区互联网舆情监测中心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辽宁省沈阳市浑南区互联网舆情监测中心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辽宁省沈阳市浑南区互联网舆情监测中心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辽宁省沈阳市浑南区互联网舆情监测中心概况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(一)负责互联网涉区舆情监测、分析、研判和报送工作，处置网上涉区负面敏感舆情，调控网上舆论;负责互联网信息管理工作。</w:t>
        <w:br/>
        <w:t xml:space="preserve">    (二)负责创新浑南微信、微博、智慧浑南客户端、融媒体的宣传和推广工作;负责做好与传统媒体和网络媒体的对接宣传，利用网媒宣传途径做好区域重大项目、重要成果等网络宣传工作，提升网络宣传影响力。</w:t>
        <w:br/>
        <w:t xml:space="preserve">    (三)负责网络安全应急指挥的事务性工作和属地互联网举报的事务性工作。</w:t>
        <w:br/>
        <w:t xml:space="preserve">    (四)负责网信技术体系和管网治网系统建设的技术支持和服务保障工作。</w:t>
        <w:br/>
        <w:t xml:space="preserve">    (五)负责组织调查研究、了解掌握全区文化产业发展现状，对全区文化产业发展进行协调和指导。</w:t>
        <w:br/>
        <w:t xml:space="preserve">    (六)负责新时代文明实践工作的统筹协调和组织实施，指导文明实践所、站开展工作，研究制定工作规划，对主要实践内容、活动培训教材、人员队伍、项目等做出计划，负责管理队伍和志愿者队伍的组织和引导，依托现有平台组织志愿者开展文明实践活动。</w:t>
        <w:br/>
        <w:t xml:space="preserve">    (七)承担区委、区政府及区委宣传部(区委网信办)交办的其他工作。</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辽宁省沈阳市浑南区互联网舆情监测中心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纳入本单位2024年决算编制范围的是浑南区互联网舆情监测中心本级，本单位无下设机构。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309.69</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309.69</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309.69</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减少17.98万元，降低5.49%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舆情中心于去年离职一名职工，故减少工资福利收入</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309.69</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303.37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97.96</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工资福利支出286.12万元；商品和服务支出17.04万元；对个人和家庭的补助0.20万元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6.32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2.04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主要包括其他网信事务等业务支出。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减少17.98万元，降低5.49%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舆情中心于去年离职一名职工，故减少工资福利支出</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收支平衡，无结转结余资金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309.69</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303.37</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6.32</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减少17.98万元，降低5.49%</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舆情中心于去年离职一名职工，故减少工资福利支出</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93.72</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93.88</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86.86</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2024年度一般公共预算财政拨款支出309.69万元。按支出功能分类科目分，包括：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1.一般公共服务支出229.48万元，具体包括：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（1）一般公共服务支出（类）网信事务（款）事业运行（项）223.16万元,主要是基本经费等支出，完成年初预算的100%，决算数与年初预算数存在差异的主要原因是完全按照预算执行，决算数与预算数无差异。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网信事务（款）其他网信事务支出（项）6.32万元,主要是舆情监测事务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2.社会保障和就业支出37.29万元，具体包括：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0.20万元,主要是舆情中心人员经费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28.76万元,主要是舆情中心人员经费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8.33万元,主要是舆情中心人员经费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3.卫生健康支出13.81万元，具体包括：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13.81万元,主要是舆情中心人员经费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4.住房保障支出29.11万元，具体包括：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29.11万元,主要是舆情中心人员经费等支出，完成年初预算的100%，决算数与年初预算数存在差异的主要原因是完全按照预算执行，决算数与预算数无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无公务接待</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无公务车购置</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303.36</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286.32</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17.04</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浑南区互联网舆情监测中心属于事业单位，无机关运行经费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组织对1个单位开展整体绩效自评，涉及资金323.15万元，自评平均分100分。附《部门（单位）整体绩效自评表》。</w:t>
        <w:br/>
        <w:t xml:space="preserve">    2.项目绩效自评情况及结果。</w:t>
        <w:br/>
        <w:t xml:space="preserve">    根据预算绩效管理要求，本部门组织对2024年度预算项目支出全面开展绩效自评，共涉及预算支出项目2个（其中：一般公共预算项目2个，政府性基金预算项目0个，国有资本经营预算项目0个），涉及资金7.28万元（其中：一般公共预算资金7.28万元，政府性基金预算资金0万元，国有资本经营预算资金0万元），自评覆盖率（开展绩效自评的项目数/年初批复绩效目标的项目数*100%）达到100%，自评平均分（开展绩效自评的项目分数总和/开展绩效自评的项目数）94.5分。</w:t>
        <w:br/>
        <w:t xml:space="preserve">    具体评价结果如下：</w:t>
        <w:br/>
        <w:t xml:space="preserve">    （1）“雇员经费”项目自评综述：根据年初设定的绩效目标，项目自评得分95.12分。项目全年预算数为4.54万元，执行数为3.37万元，完成预算的74.25%。</w:t>
        <w:br/>
        <w:t xml:space="preserve">    附《预算项目（政策）绩效自评表》</w:t>
        <w:br/>
        <w:t xml:space="preserve">    （2）“缴纳残疾人就业保障金（文行科）”项目自评综述：根据年初设定的绩效目标，项目自评得分100分。项目全年预算数为2.74万元，执行数为2.74万元，完成预算的100%。 </w:t>
        <w:br/>
        <w:t xml:space="preserve">    附《预算项目（政策）绩效自评表》 </w:t>
        <w:br/>
        <w:t xml:space="preserve">    3.部门重点评价情况及结果。</w:t>
        <w:br/>
        <w:t xml:space="preserve">    本部门不涉及特定指标类项目。</w:t>
        <w:br/>
        <w:t xml:space="preserve">    4.财政重点评价情况及结果。</w:t>
        <w:br/>
        <w:t xml:space="preserve">    该部门绩效评价效果较好，望你单位继续加强资金管理，用好财政资金，发挥资金效益。</w:t>
        <w:br/>
        <w:t xml:space="preserve">    5.其他。</w:t>
        <w:br/>
        <w:t xml:space="preserve">    无其他评价。</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16.一般公共服务（类）网信事务（款）事业运行（项）：反映事业单位的基本支出。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单位：辽宁省沈阳市浑南区互联网舆情监测中心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309.69</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229.48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37.29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13.81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29.11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309.69</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309.69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309.69</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309.69</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单位：辽宁省沈阳市浑南区互联网舆情监测中心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309.69</w:t>
            </w:r>
          </w:p>
        </w:tc>
        <w:tc>
          <w:tcPr>
            <w:tcW w:w="960" w:type="dxa"/>
            <w:tcBorders/>
            <w:vAlign w:val="center"/>
          </w:tcPr>
          <w:p>
            <w:pPr>
              <w:jc w:val="right"/>
            </w:pPr>
            <w:r>
              <w:rPr>
                <w:rFonts w:ascii="宋体" w:eastAsia="宋体" w:hAnsi="宋体" w:cs="宋体"/>
                <w:b/>
                <w:i w:val="0"/>
                <w:color w:val="000000"/>
                <w:sz w:val="13"/>
              </w:rPr>
              <w:t xml:space="preserve">309.69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229.48</w:t>
            </w:r>
          </w:p>
        </w:tc>
        <w:tc>
          <w:tcPr>
            <w:tcW w:w="960" w:type="dxa"/>
            <w:tcBorders/>
            <w:vAlign w:val="center"/>
          </w:tcPr>
          <w:p>
            <w:pPr>
              <w:jc w:val="right"/>
            </w:pPr>
            <w:r>
              <w:rPr>
                <w:rFonts w:ascii="宋体" w:eastAsia="宋体" w:hAnsi="宋体" w:cs="宋体"/>
                <w:b w:val="0"/>
                <w:i w:val="0"/>
                <w:color w:val="000000"/>
                <w:sz w:val="13"/>
              </w:rPr>
              <w:t xml:space="preserve">229.48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20137</w:t>
            </w:r>
          </w:p>
        </w:tc>
        <w:tc>
          <w:tcPr>
            <w:tcW w:w="3200" w:type="dxa"/>
            <w:tcBorders/>
            <w:vAlign w:val="center"/>
          </w:tcPr>
          <w:p>
            <w:pPr>
              <w:jc w:val="left"/>
            </w:pPr>
            <w:r>
              <w:rPr>
                <w:rFonts w:ascii="宋体" w:eastAsia="宋体" w:hAnsi="宋体" w:cs="宋体"/>
                <w:b w:val="0"/>
                <w:i w:val="0"/>
                <w:color w:val="000000"/>
                <w:sz w:val="13"/>
              </w:rPr>
              <w:t xml:space="preserve">网信事务</w:t>
            </w:r>
          </w:p>
        </w:tc>
        <w:tc>
          <w:tcPr>
            <w:tcW w:w="960" w:type="dxa"/>
            <w:tcBorders/>
            <w:vAlign w:val="center"/>
          </w:tcPr>
          <w:p>
            <w:pPr>
              <w:jc w:val="right"/>
            </w:pPr>
            <w:r>
              <w:rPr>
                <w:rFonts w:ascii="宋体" w:eastAsia="宋体" w:hAnsi="宋体" w:cs="宋体"/>
                <w:b w:val="0"/>
                <w:i w:val="0"/>
                <w:color w:val="000000"/>
                <w:sz w:val="13"/>
              </w:rPr>
              <w:t xml:space="preserve">229.48</w:t>
            </w:r>
          </w:p>
        </w:tc>
        <w:tc>
          <w:tcPr>
            <w:tcW w:w="960" w:type="dxa"/>
            <w:tcBorders/>
            <w:vAlign w:val="center"/>
          </w:tcPr>
          <w:p>
            <w:pPr>
              <w:jc w:val="right"/>
            </w:pPr>
            <w:r>
              <w:rPr>
                <w:rFonts w:ascii="宋体" w:eastAsia="宋体" w:hAnsi="宋体" w:cs="宋体"/>
                <w:b w:val="0"/>
                <w:i w:val="0"/>
                <w:color w:val="000000"/>
                <w:sz w:val="13"/>
              </w:rPr>
              <w:t xml:space="preserve">229.48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2013750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223.16</w:t>
            </w:r>
          </w:p>
        </w:tc>
        <w:tc>
          <w:tcPr>
            <w:tcW w:w="960" w:type="dxa"/>
            <w:tcBorders/>
            <w:vAlign w:val="center"/>
          </w:tcPr>
          <w:p>
            <w:pPr>
              <w:jc w:val="right"/>
            </w:pPr>
            <w:r>
              <w:rPr>
                <w:rFonts w:ascii="宋体" w:eastAsia="宋体" w:hAnsi="宋体" w:cs="宋体"/>
                <w:b w:val="0"/>
                <w:i w:val="0"/>
                <w:color w:val="000000"/>
                <w:sz w:val="13"/>
              </w:rPr>
              <w:t xml:space="preserve">223.16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2013799</w:t>
            </w:r>
          </w:p>
        </w:tc>
        <w:tc>
          <w:tcPr>
            <w:tcW w:w="3200" w:type="dxa"/>
            <w:tcBorders/>
            <w:vAlign w:val="center"/>
          </w:tcPr>
          <w:p>
            <w:pPr>
              <w:jc w:val="left"/>
            </w:pPr>
            <w:r>
              <w:rPr>
                <w:rFonts w:ascii="宋体" w:eastAsia="宋体" w:hAnsi="宋体" w:cs="宋体"/>
                <w:b w:val="0"/>
                <w:i w:val="0"/>
                <w:color w:val="000000"/>
                <w:sz w:val="13"/>
              </w:rPr>
              <w:t xml:space="preserve">其他网信事务支出</w:t>
            </w:r>
          </w:p>
        </w:tc>
        <w:tc>
          <w:tcPr>
            <w:tcW w:w="960" w:type="dxa"/>
            <w:tcBorders/>
            <w:vAlign w:val="center"/>
          </w:tcPr>
          <w:p>
            <w:pPr>
              <w:jc w:val="right"/>
            </w:pPr>
            <w:r>
              <w:rPr>
                <w:rFonts w:ascii="宋体" w:eastAsia="宋体" w:hAnsi="宋体" w:cs="宋体"/>
                <w:b w:val="0"/>
                <w:i w:val="0"/>
                <w:color w:val="000000"/>
                <w:sz w:val="13"/>
              </w:rPr>
              <w:t xml:space="preserve">6.32</w:t>
            </w:r>
          </w:p>
        </w:tc>
        <w:tc>
          <w:tcPr>
            <w:tcW w:w="960" w:type="dxa"/>
            <w:tcBorders/>
            <w:vAlign w:val="center"/>
          </w:tcPr>
          <w:p>
            <w:pPr>
              <w:jc w:val="right"/>
            </w:pPr>
            <w:r>
              <w:rPr>
                <w:rFonts w:ascii="宋体" w:eastAsia="宋体" w:hAnsi="宋体" w:cs="宋体"/>
                <w:b w:val="0"/>
                <w:i w:val="0"/>
                <w:color w:val="000000"/>
                <w:sz w:val="13"/>
              </w:rPr>
              <w:t xml:space="preserve">6.32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37.29</w:t>
            </w:r>
          </w:p>
        </w:tc>
        <w:tc>
          <w:tcPr>
            <w:tcW w:w="960" w:type="dxa"/>
            <w:tcBorders/>
            <w:vAlign w:val="center"/>
          </w:tcPr>
          <w:p>
            <w:pPr>
              <w:jc w:val="right"/>
            </w:pPr>
            <w:r>
              <w:rPr>
                <w:rFonts w:ascii="宋体" w:eastAsia="宋体" w:hAnsi="宋体" w:cs="宋体"/>
                <w:b w:val="0"/>
                <w:i w:val="0"/>
                <w:color w:val="000000"/>
                <w:sz w:val="13"/>
              </w:rPr>
              <w:t xml:space="preserve">37.29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37.29</w:t>
            </w:r>
          </w:p>
        </w:tc>
        <w:tc>
          <w:tcPr>
            <w:tcW w:w="960" w:type="dxa"/>
            <w:tcBorders/>
            <w:vAlign w:val="center"/>
          </w:tcPr>
          <w:p>
            <w:pPr>
              <w:jc w:val="right"/>
            </w:pPr>
            <w:r>
              <w:rPr>
                <w:rFonts w:ascii="宋体" w:eastAsia="宋体" w:hAnsi="宋体" w:cs="宋体"/>
                <w:b w:val="0"/>
                <w:i w:val="0"/>
                <w:color w:val="000000"/>
                <w:sz w:val="13"/>
              </w:rPr>
              <w:t xml:space="preserve">37.29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0.20</w:t>
            </w:r>
          </w:p>
        </w:tc>
        <w:tc>
          <w:tcPr>
            <w:tcW w:w="960" w:type="dxa"/>
            <w:tcBorders/>
            <w:vAlign w:val="center"/>
          </w:tcPr>
          <w:p>
            <w:pPr>
              <w:jc w:val="right"/>
            </w:pPr>
            <w:r>
              <w:rPr>
                <w:rFonts w:ascii="宋体" w:eastAsia="宋体" w:hAnsi="宋体" w:cs="宋体"/>
                <w:b w:val="0"/>
                <w:i w:val="0"/>
                <w:color w:val="000000"/>
                <w:sz w:val="13"/>
              </w:rPr>
              <w:t xml:space="preserve">0.20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28.76</w:t>
            </w:r>
          </w:p>
        </w:tc>
        <w:tc>
          <w:tcPr>
            <w:tcW w:w="960" w:type="dxa"/>
            <w:tcBorders/>
            <w:vAlign w:val="center"/>
          </w:tcPr>
          <w:p>
            <w:pPr>
              <w:jc w:val="right"/>
            </w:pPr>
            <w:r>
              <w:rPr>
                <w:rFonts w:ascii="宋体" w:eastAsia="宋体" w:hAnsi="宋体" w:cs="宋体"/>
                <w:b w:val="0"/>
                <w:i w:val="0"/>
                <w:color w:val="000000"/>
                <w:sz w:val="13"/>
              </w:rPr>
              <w:t xml:space="preserve">28.76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8.33</w:t>
            </w:r>
          </w:p>
        </w:tc>
        <w:tc>
          <w:tcPr>
            <w:tcW w:w="960" w:type="dxa"/>
            <w:tcBorders/>
            <w:vAlign w:val="center"/>
          </w:tcPr>
          <w:p>
            <w:pPr>
              <w:jc w:val="right"/>
            </w:pPr>
            <w:r>
              <w:rPr>
                <w:rFonts w:ascii="宋体" w:eastAsia="宋体" w:hAnsi="宋体" w:cs="宋体"/>
                <w:b w:val="0"/>
                <w:i w:val="0"/>
                <w:color w:val="000000"/>
                <w:sz w:val="13"/>
              </w:rPr>
              <w:t xml:space="preserve">8.33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13.81</w:t>
            </w:r>
          </w:p>
        </w:tc>
        <w:tc>
          <w:tcPr>
            <w:tcW w:w="960" w:type="dxa"/>
            <w:tcBorders/>
            <w:vAlign w:val="center"/>
          </w:tcPr>
          <w:p>
            <w:pPr>
              <w:jc w:val="right"/>
            </w:pPr>
            <w:r>
              <w:rPr>
                <w:rFonts w:ascii="宋体" w:eastAsia="宋体" w:hAnsi="宋体" w:cs="宋体"/>
                <w:b w:val="0"/>
                <w:i w:val="0"/>
                <w:color w:val="000000"/>
                <w:sz w:val="13"/>
              </w:rPr>
              <w:t xml:space="preserve">13.81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13.81</w:t>
            </w:r>
          </w:p>
        </w:tc>
        <w:tc>
          <w:tcPr>
            <w:tcW w:w="960" w:type="dxa"/>
            <w:tcBorders/>
            <w:vAlign w:val="center"/>
          </w:tcPr>
          <w:p>
            <w:pPr>
              <w:jc w:val="right"/>
            </w:pPr>
            <w:r>
              <w:rPr>
                <w:rFonts w:ascii="宋体" w:eastAsia="宋体" w:hAnsi="宋体" w:cs="宋体"/>
                <w:b w:val="0"/>
                <w:i w:val="0"/>
                <w:color w:val="000000"/>
                <w:sz w:val="13"/>
              </w:rPr>
              <w:t xml:space="preserve">13.81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13.81</w:t>
            </w:r>
          </w:p>
        </w:tc>
        <w:tc>
          <w:tcPr>
            <w:tcW w:w="960" w:type="dxa"/>
            <w:tcBorders/>
            <w:vAlign w:val="center"/>
          </w:tcPr>
          <w:p>
            <w:pPr>
              <w:jc w:val="right"/>
            </w:pPr>
            <w:r>
              <w:rPr>
                <w:rFonts w:ascii="宋体" w:eastAsia="宋体" w:hAnsi="宋体" w:cs="宋体"/>
                <w:b w:val="0"/>
                <w:i w:val="0"/>
                <w:color w:val="000000"/>
                <w:sz w:val="13"/>
              </w:rPr>
              <w:t xml:space="preserve">13.81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29.11</w:t>
            </w:r>
          </w:p>
        </w:tc>
        <w:tc>
          <w:tcPr>
            <w:tcW w:w="960" w:type="dxa"/>
            <w:tcBorders/>
            <w:vAlign w:val="center"/>
          </w:tcPr>
          <w:p>
            <w:pPr>
              <w:jc w:val="right"/>
            </w:pPr>
            <w:r>
              <w:rPr>
                <w:rFonts w:ascii="宋体" w:eastAsia="宋体" w:hAnsi="宋体" w:cs="宋体"/>
                <w:b w:val="0"/>
                <w:i w:val="0"/>
                <w:color w:val="000000"/>
                <w:sz w:val="13"/>
              </w:rPr>
              <w:t xml:space="preserve">29.11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29.11</w:t>
            </w:r>
          </w:p>
        </w:tc>
        <w:tc>
          <w:tcPr>
            <w:tcW w:w="960" w:type="dxa"/>
            <w:tcBorders/>
            <w:vAlign w:val="center"/>
          </w:tcPr>
          <w:p>
            <w:pPr>
              <w:jc w:val="right"/>
            </w:pPr>
            <w:r>
              <w:rPr>
                <w:rFonts w:ascii="宋体" w:eastAsia="宋体" w:hAnsi="宋体" w:cs="宋体"/>
                <w:b w:val="0"/>
                <w:i w:val="0"/>
                <w:color w:val="000000"/>
                <w:sz w:val="13"/>
              </w:rPr>
              <w:t xml:space="preserve">29.11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29.11</w:t>
            </w:r>
          </w:p>
        </w:tc>
        <w:tc>
          <w:tcPr>
            <w:tcW w:w="960" w:type="dxa"/>
            <w:tcBorders/>
            <w:vAlign w:val="center"/>
          </w:tcPr>
          <w:p>
            <w:pPr>
              <w:jc w:val="right"/>
            </w:pPr>
            <w:r>
              <w:rPr>
                <w:rFonts w:ascii="宋体" w:eastAsia="宋体" w:hAnsi="宋体" w:cs="宋体"/>
                <w:b w:val="0"/>
                <w:i w:val="0"/>
                <w:color w:val="000000"/>
                <w:sz w:val="13"/>
              </w:rPr>
              <w:t xml:space="preserve">29.11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单位：辽宁省沈阳市浑南区互联网舆情监测中心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309.69</w:t>
            </w:r>
          </w:p>
        </w:tc>
        <w:tc>
          <w:tcPr>
            <w:tcW w:w="1060" w:type="dxa"/>
            <w:tcBorders/>
            <w:vAlign w:val="center"/>
          </w:tcPr>
          <w:p>
            <w:pPr>
              <w:jc w:val="right"/>
            </w:pPr>
            <w:r>
              <w:rPr>
                <w:rFonts w:ascii="宋体" w:eastAsia="宋体" w:hAnsi="宋体" w:cs="宋体"/>
                <w:b/>
                <w:i w:val="0"/>
                <w:color w:val="000000"/>
                <w:sz w:val="14"/>
              </w:rPr>
              <w:t xml:space="preserve">303.37</w:t>
            </w:r>
          </w:p>
        </w:tc>
        <w:tc>
          <w:tcPr>
            <w:tcW w:w="1060" w:type="dxa"/>
            <w:tcBorders/>
            <w:vAlign w:val="center"/>
          </w:tcPr>
          <w:p>
            <w:pPr>
              <w:jc w:val="right"/>
            </w:pPr>
            <w:r>
              <w:rPr>
                <w:rFonts w:ascii="宋体" w:eastAsia="宋体" w:hAnsi="宋体" w:cs="宋体"/>
                <w:b/>
                <w:i w:val="0"/>
                <w:color w:val="000000"/>
                <w:sz w:val="14"/>
              </w:rPr>
              <w:t xml:space="preserve">6.32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229.48</w:t>
            </w:r>
          </w:p>
        </w:tc>
        <w:tc>
          <w:tcPr>
            <w:tcW w:w="1060" w:type="dxa"/>
            <w:tcBorders/>
            <w:vAlign w:val="center"/>
          </w:tcPr>
          <w:p>
            <w:pPr>
              <w:jc w:val="right"/>
            </w:pPr>
            <w:r>
              <w:rPr>
                <w:rFonts w:ascii="宋体" w:eastAsia="宋体" w:hAnsi="宋体" w:cs="宋体"/>
                <w:b w:val="0"/>
                <w:i w:val="0"/>
                <w:color w:val="000000"/>
                <w:sz w:val="14"/>
              </w:rPr>
              <w:t xml:space="preserve">223.16</w:t>
            </w:r>
          </w:p>
        </w:tc>
        <w:tc>
          <w:tcPr>
            <w:tcW w:w="1060" w:type="dxa"/>
            <w:tcBorders/>
            <w:vAlign w:val="center"/>
          </w:tcPr>
          <w:p>
            <w:pPr>
              <w:jc w:val="right"/>
            </w:pPr>
            <w:r>
              <w:rPr>
                <w:rFonts w:ascii="宋体" w:eastAsia="宋体" w:hAnsi="宋体" w:cs="宋体"/>
                <w:b w:val="0"/>
                <w:i w:val="0"/>
                <w:color w:val="000000"/>
                <w:sz w:val="14"/>
              </w:rPr>
              <w:t xml:space="preserve">6.32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20137</w:t>
            </w:r>
          </w:p>
        </w:tc>
        <w:tc>
          <w:tcPr>
            <w:tcW w:w="3440" w:type="dxa"/>
            <w:tcBorders/>
            <w:vAlign w:val="center"/>
          </w:tcPr>
          <w:p>
            <w:pPr>
              <w:jc w:val="left"/>
            </w:pPr>
            <w:r>
              <w:rPr>
                <w:rFonts w:ascii="宋体" w:eastAsia="宋体" w:hAnsi="宋体" w:cs="宋体"/>
                <w:b w:val="0"/>
                <w:i w:val="0"/>
                <w:color w:val="000000"/>
                <w:sz w:val="14"/>
              </w:rPr>
              <w:t xml:space="preserve">网信事务</w:t>
            </w:r>
          </w:p>
        </w:tc>
        <w:tc>
          <w:tcPr>
            <w:tcW w:w="1060" w:type="dxa"/>
            <w:tcBorders/>
            <w:vAlign w:val="center"/>
          </w:tcPr>
          <w:p>
            <w:pPr>
              <w:jc w:val="right"/>
            </w:pPr>
            <w:r>
              <w:rPr>
                <w:rFonts w:ascii="宋体" w:eastAsia="宋体" w:hAnsi="宋体" w:cs="宋体"/>
                <w:b w:val="0"/>
                <w:i w:val="0"/>
                <w:color w:val="000000"/>
                <w:sz w:val="14"/>
              </w:rPr>
              <w:t xml:space="preserve">229.48</w:t>
            </w:r>
          </w:p>
        </w:tc>
        <w:tc>
          <w:tcPr>
            <w:tcW w:w="1060" w:type="dxa"/>
            <w:tcBorders/>
            <w:vAlign w:val="center"/>
          </w:tcPr>
          <w:p>
            <w:pPr>
              <w:jc w:val="right"/>
            </w:pPr>
            <w:r>
              <w:rPr>
                <w:rFonts w:ascii="宋体" w:eastAsia="宋体" w:hAnsi="宋体" w:cs="宋体"/>
                <w:b w:val="0"/>
                <w:i w:val="0"/>
                <w:color w:val="000000"/>
                <w:sz w:val="14"/>
              </w:rPr>
              <w:t xml:space="preserve">223.16</w:t>
            </w:r>
          </w:p>
        </w:tc>
        <w:tc>
          <w:tcPr>
            <w:tcW w:w="1060" w:type="dxa"/>
            <w:tcBorders/>
            <w:vAlign w:val="center"/>
          </w:tcPr>
          <w:p>
            <w:pPr>
              <w:jc w:val="right"/>
            </w:pPr>
            <w:r>
              <w:rPr>
                <w:rFonts w:ascii="宋体" w:eastAsia="宋体" w:hAnsi="宋体" w:cs="宋体"/>
                <w:b w:val="0"/>
                <w:i w:val="0"/>
                <w:color w:val="000000"/>
                <w:sz w:val="14"/>
              </w:rPr>
              <w:t xml:space="preserve">6.32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2013750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223.16</w:t>
            </w:r>
          </w:p>
        </w:tc>
        <w:tc>
          <w:tcPr>
            <w:tcW w:w="1060" w:type="dxa"/>
            <w:tcBorders/>
            <w:vAlign w:val="center"/>
          </w:tcPr>
          <w:p>
            <w:pPr>
              <w:jc w:val="right"/>
            </w:pPr>
            <w:r>
              <w:rPr>
                <w:rFonts w:ascii="宋体" w:eastAsia="宋体" w:hAnsi="宋体" w:cs="宋体"/>
                <w:b w:val="0"/>
                <w:i w:val="0"/>
                <w:color w:val="000000"/>
                <w:sz w:val="14"/>
              </w:rPr>
              <w:t xml:space="preserve">223.16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2013799</w:t>
            </w:r>
          </w:p>
        </w:tc>
        <w:tc>
          <w:tcPr>
            <w:tcW w:w="3440" w:type="dxa"/>
            <w:tcBorders/>
            <w:vAlign w:val="center"/>
          </w:tcPr>
          <w:p>
            <w:pPr>
              <w:jc w:val="left"/>
            </w:pPr>
            <w:r>
              <w:rPr>
                <w:rFonts w:ascii="宋体" w:eastAsia="宋体" w:hAnsi="宋体" w:cs="宋体"/>
                <w:b w:val="0"/>
                <w:i w:val="0"/>
                <w:color w:val="000000"/>
                <w:sz w:val="14"/>
              </w:rPr>
              <w:t xml:space="preserve">其他网信事务支出</w:t>
            </w:r>
          </w:p>
        </w:tc>
        <w:tc>
          <w:tcPr>
            <w:tcW w:w="1060" w:type="dxa"/>
            <w:tcBorders/>
            <w:vAlign w:val="center"/>
          </w:tcPr>
          <w:p>
            <w:pPr>
              <w:jc w:val="right"/>
            </w:pPr>
            <w:r>
              <w:rPr>
                <w:rFonts w:ascii="宋体" w:eastAsia="宋体" w:hAnsi="宋体" w:cs="宋体"/>
                <w:b w:val="0"/>
                <w:i w:val="0"/>
                <w:color w:val="000000"/>
                <w:sz w:val="14"/>
              </w:rPr>
              <w:t xml:space="preserve">6.32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37.29</w:t>
            </w:r>
          </w:p>
        </w:tc>
        <w:tc>
          <w:tcPr>
            <w:tcW w:w="1060" w:type="dxa"/>
            <w:tcBorders/>
            <w:vAlign w:val="center"/>
          </w:tcPr>
          <w:p>
            <w:pPr>
              <w:jc w:val="right"/>
            </w:pPr>
            <w:r>
              <w:rPr>
                <w:rFonts w:ascii="宋体" w:eastAsia="宋体" w:hAnsi="宋体" w:cs="宋体"/>
                <w:b w:val="0"/>
                <w:i w:val="0"/>
                <w:color w:val="000000"/>
                <w:sz w:val="14"/>
              </w:rPr>
              <w:t xml:space="preserve">37.29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37.29</w:t>
            </w:r>
          </w:p>
        </w:tc>
        <w:tc>
          <w:tcPr>
            <w:tcW w:w="1060" w:type="dxa"/>
            <w:tcBorders/>
            <w:vAlign w:val="center"/>
          </w:tcPr>
          <w:p>
            <w:pPr>
              <w:jc w:val="right"/>
            </w:pPr>
            <w:r>
              <w:rPr>
                <w:rFonts w:ascii="宋体" w:eastAsia="宋体" w:hAnsi="宋体" w:cs="宋体"/>
                <w:b w:val="0"/>
                <w:i w:val="0"/>
                <w:color w:val="000000"/>
                <w:sz w:val="14"/>
              </w:rPr>
              <w:t xml:space="preserve">37.29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0.20</w:t>
            </w:r>
          </w:p>
        </w:tc>
        <w:tc>
          <w:tcPr>
            <w:tcW w:w="1060" w:type="dxa"/>
            <w:tcBorders/>
            <w:vAlign w:val="center"/>
          </w:tcPr>
          <w:p>
            <w:pPr>
              <w:jc w:val="right"/>
            </w:pPr>
            <w:r>
              <w:rPr>
                <w:rFonts w:ascii="宋体" w:eastAsia="宋体" w:hAnsi="宋体" w:cs="宋体"/>
                <w:b w:val="0"/>
                <w:i w:val="0"/>
                <w:color w:val="000000"/>
                <w:sz w:val="14"/>
              </w:rPr>
              <w:t xml:space="preserve">0.20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28.76</w:t>
            </w:r>
          </w:p>
        </w:tc>
        <w:tc>
          <w:tcPr>
            <w:tcW w:w="1060" w:type="dxa"/>
            <w:tcBorders/>
            <w:vAlign w:val="center"/>
          </w:tcPr>
          <w:p>
            <w:pPr>
              <w:jc w:val="right"/>
            </w:pPr>
            <w:r>
              <w:rPr>
                <w:rFonts w:ascii="宋体" w:eastAsia="宋体" w:hAnsi="宋体" w:cs="宋体"/>
                <w:b w:val="0"/>
                <w:i w:val="0"/>
                <w:color w:val="000000"/>
                <w:sz w:val="14"/>
              </w:rPr>
              <w:t xml:space="preserve">28.76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8.33</w:t>
            </w:r>
          </w:p>
        </w:tc>
        <w:tc>
          <w:tcPr>
            <w:tcW w:w="1060" w:type="dxa"/>
            <w:tcBorders/>
            <w:vAlign w:val="center"/>
          </w:tcPr>
          <w:p>
            <w:pPr>
              <w:jc w:val="right"/>
            </w:pPr>
            <w:r>
              <w:rPr>
                <w:rFonts w:ascii="宋体" w:eastAsia="宋体" w:hAnsi="宋体" w:cs="宋体"/>
                <w:b w:val="0"/>
                <w:i w:val="0"/>
                <w:color w:val="000000"/>
                <w:sz w:val="14"/>
              </w:rPr>
              <w:t xml:space="preserve">8.33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13.81</w:t>
            </w:r>
          </w:p>
        </w:tc>
        <w:tc>
          <w:tcPr>
            <w:tcW w:w="1060" w:type="dxa"/>
            <w:tcBorders/>
            <w:vAlign w:val="center"/>
          </w:tcPr>
          <w:p>
            <w:pPr>
              <w:jc w:val="right"/>
            </w:pPr>
            <w:r>
              <w:rPr>
                <w:rFonts w:ascii="宋体" w:eastAsia="宋体" w:hAnsi="宋体" w:cs="宋体"/>
                <w:b w:val="0"/>
                <w:i w:val="0"/>
                <w:color w:val="000000"/>
                <w:sz w:val="14"/>
              </w:rPr>
              <w:t xml:space="preserve">13.81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13.81</w:t>
            </w:r>
          </w:p>
        </w:tc>
        <w:tc>
          <w:tcPr>
            <w:tcW w:w="1060" w:type="dxa"/>
            <w:tcBorders/>
            <w:vAlign w:val="center"/>
          </w:tcPr>
          <w:p>
            <w:pPr>
              <w:jc w:val="right"/>
            </w:pPr>
            <w:r>
              <w:rPr>
                <w:rFonts w:ascii="宋体" w:eastAsia="宋体" w:hAnsi="宋体" w:cs="宋体"/>
                <w:b w:val="0"/>
                <w:i w:val="0"/>
                <w:color w:val="000000"/>
                <w:sz w:val="14"/>
              </w:rPr>
              <w:t xml:space="preserve">13.81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13.81</w:t>
            </w:r>
          </w:p>
        </w:tc>
        <w:tc>
          <w:tcPr>
            <w:tcW w:w="1060" w:type="dxa"/>
            <w:tcBorders/>
            <w:vAlign w:val="center"/>
          </w:tcPr>
          <w:p>
            <w:pPr>
              <w:jc w:val="right"/>
            </w:pPr>
            <w:r>
              <w:rPr>
                <w:rFonts w:ascii="宋体" w:eastAsia="宋体" w:hAnsi="宋体" w:cs="宋体"/>
                <w:b w:val="0"/>
                <w:i w:val="0"/>
                <w:color w:val="000000"/>
                <w:sz w:val="14"/>
              </w:rPr>
              <w:t xml:space="preserve">13.81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29.11</w:t>
            </w:r>
          </w:p>
        </w:tc>
        <w:tc>
          <w:tcPr>
            <w:tcW w:w="1060" w:type="dxa"/>
            <w:tcBorders/>
            <w:vAlign w:val="center"/>
          </w:tcPr>
          <w:p>
            <w:pPr>
              <w:jc w:val="right"/>
            </w:pPr>
            <w:r>
              <w:rPr>
                <w:rFonts w:ascii="宋体" w:eastAsia="宋体" w:hAnsi="宋体" w:cs="宋体"/>
                <w:b w:val="0"/>
                <w:i w:val="0"/>
                <w:color w:val="000000"/>
                <w:sz w:val="14"/>
              </w:rPr>
              <w:t xml:space="preserve">29.11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29.11</w:t>
            </w:r>
          </w:p>
        </w:tc>
        <w:tc>
          <w:tcPr>
            <w:tcW w:w="1060" w:type="dxa"/>
            <w:tcBorders/>
            <w:vAlign w:val="center"/>
          </w:tcPr>
          <w:p>
            <w:pPr>
              <w:jc w:val="right"/>
            </w:pPr>
            <w:r>
              <w:rPr>
                <w:rFonts w:ascii="宋体" w:eastAsia="宋体" w:hAnsi="宋体" w:cs="宋体"/>
                <w:b w:val="0"/>
                <w:i w:val="0"/>
                <w:color w:val="000000"/>
                <w:sz w:val="14"/>
              </w:rPr>
              <w:t xml:space="preserve">29.11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29.11</w:t>
            </w:r>
          </w:p>
        </w:tc>
        <w:tc>
          <w:tcPr>
            <w:tcW w:w="1060" w:type="dxa"/>
            <w:tcBorders/>
            <w:vAlign w:val="center"/>
          </w:tcPr>
          <w:p>
            <w:pPr>
              <w:jc w:val="right"/>
            </w:pPr>
            <w:r>
              <w:rPr>
                <w:rFonts w:ascii="宋体" w:eastAsia="宋体" w:hAnsi="宋体" w:cs="宋体"/>
                <w:b w:val="0"/>
                <w:i w:val="0"/>
                <w:color w:val="000000"/>
                <w:sz w:val="14"/>
              </w:rPr>
              <w:t xml:space="preserve">29.11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单位：辽宁省沈阳市浑南区互联网舆情监测中心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309.69</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229.48</w:t>
            </w:r>
          </w:p>
        </w:tc>
        <w:tc>
          <w:tcPr>
            <w:tcW w:w="1100" w:type="dxa"/>
            <w:tcBorders/>
            <w:vAlign w:val="center"/>
          </w:tcPr>
          <w:p>
            <w:pPr>
              <w:jc w:val="right"/>
            </w:pPr>
            <w:r>
              <w:rPr>
                <w:rFonts w:ascii="宋体" w:eastAsia="宋体" w:hAnsi="宋体" w:cs="宋体"/>
                <w:b w:val="0"/>
                <w:i w:val="0"/>
                <w:color w:val="000000"/>
                <w:sz w:val="14"/>
              </w:rPr>
              <w:t xml:space="preserve">229.48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37.29</w:t>
            </w:r>
          </w:p>
        </w:tc>
        <w:tc>
          <w:tcPr>
            <w:tcW w:w="1100" w:type="dxa"/>
            <w:tcBorders/>
            <w:vAlign w:val="center"/>
          </w:tcPr>
          <w:p>
            <w:pPr>
              <w:jc w:val="right"/>
            </w:pPr>
            <w:r>
              <w:rPr>
                <w:rFonts w:ascii="宋体" w:eastAsia="宋体" w:hAnsi="宋体" w:cs="宋体"/>
                <w:b w:val="0"/>
                <w:i w:val="0"/>
                <w:color w:val="000000"/>
                <w:sz w:val="14"/>
              </w:rPr>
              <w:t xml:space="preserve">37.29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13.81</w:t>
            </w:r>
          </w:p>
        </w:tc>
        <w:tc>
          <w:tcPr>
            <w:tcW w:w="1100" w:type="dxa"/>
            <w:tcBorders/>
            <w:vAlign w:val="center"/>
          </w:tcPr>
          <w:p>
            <w:pPr>
              <w:jc w:val="right"/>
            </w:pPr>
            <w:r>
              <w:rPr>
                <w:rFonts w:ascii="宋体" w:eastAsia="宋体" w:hAnsi="宋体" w:cs="宋体"/>
                <w:b w:val="0"/>
                <w:i w:val="0"/>
                <w:color w:val="000000"/>
                <w:sz w:val="14"/>
              </w:rPr>
              <w:t xml:space="preserve">13.81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29.11</w:t>
            </w:r>
          </w:p>
        </w:tc>
        <w:tc>
          <w:tcPr>
            <w:tcW w:w="1100" w:type="dxa"/>
            <w:tcBorders/>
            <w:vAlign w:val="center"/>
          </w:tcPr>
          <w:p>
            <w:pPr>
              <w:jc w:val="right"/>
            </w:pPr>
            <w:r>
              <w:rPr>
                <w:rFonts w:ascii="宋体" w:eastAsia="宋体" w:hAnsi="宋体" w:cs="宋体"/>
                <w:b w:val="0"/>
                <w:i w:val="0"/>
                <w:color w:val="000000"/>
                <w:sz w:val="14"/>
              </w:rPr>
              <w:t xml:space="preserve">29.11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309.69</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309.69</w:t>
            </w:r>
          </w:p>
        </w:tc>
        <w:tc>
          <w:tcPr>
            <w:tcW w:w="1100" w:type="dxa"/>
            <w:tcBorders/>
            <w:vAlign w:val="center"/>
          </w:tcPr>
          <w:p>
            <w:pPr>
              <w:jc w:val="right"/>
            </w:pPr>
            <w:r>
              <w:rPr>
                <w:rFonts w:ascii="宋体" w:eastAsia="宋体" w:hAnsi="宋体" w:cs="宋体"/>
                <w:b w:val="0"/>
                <w:i w:val="0"/>
                <w:color w:val="000000"/>
                <w:sz w:val="14"/>
              </w:rPr>
              <w:t xml:space="preserve">309.69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309.69</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309.69</w:t>
            </w:r>
          </w:p>
        </w:tc>
        <w:tc>
          <w:tcPr>
            <w:tcW w:w="1100" w:type="dxa"/>
            <w:tcBorders/>
            <w:vAlign w:val="center"/>
          </w:tcPr>
          <w:p>
            <w:pPr>
              <w:jc w:val="right"/>
            </w:pPr>
            <w:r>
              <w:rPr>
                <w:rFonts w:ascii="宋体" w:eastAsia="宋体" w:hAnsi="宋体" w:cs="宋体"/>
                <w:b w:val="0"/>
                <w:i w:val="0"/>
                <w:color w:val="000000"/>
                <w:sz w:val="14"/>
              </w:rPr>
              <w:t xml:space="preserve">309.69</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单位：辽宁省沈阳市浑南区互联网舆情监测中心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309.69</w:t>
            </w:r>
          </w:p>
        </w:tc>
        <w:tc>
          <w:tcPr>
            <w:tcW w:w="1780" w:type="dxa"/>
            <w:tcBorders/>
            <w:vAlign w:val="center"/>
          </w:tcPr>
          <w:p>
            <w:pPr>
              <w:jc w:val="right"/>
            </w:pPr>
            <w:r>
              <w:rPr>
                <w:rFonts w:ascii="宋体" w:eastAsia="宋体" w:hAnsi="宋体" w:cs="宋体"/>
                <w:b/>
                <w:i w:val="0"/>
                <w:color w:val="000000"/>
                <w:sz w:val="18"/>
              </w:rPr>
              <w:t xml:space="preserve">303.37</w:t>
            </w:r>
          </w:p>
        </w:tc>
        <w:tc>
          <w:tcPr>
            <w:tcW w:w="1772" w:type="dxa"/>
            <w:tcBorders/>
            <w:vAlign w:val="center"/>
          </w:tcPr>
          <w:p>
            <w:pPr>
              <w:jc w:val="right"/>
            </w:pPr>
            <w:r>
              <w:rPr>
                <w:rFonts w:ascii="宋体" w:eastAsia="宋体" w:hAnsi="宋体" w:cs="宋体"/>
                <w:b/>
                <w:i w:val="0"/>
                <w:color w:val="000000"/>
                <w:sz w:val="18"/>
              </w:rPr>
              <w:t xml:space="preserve">6.32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229.48</w:t>
            </w:r>
          </w:p>
        </w:tc>
        <w:tc>
          <w:tcPr>
            <w:tcW w:w="1780" w:type="dxa"/>
            <w:tcBorders/>
            <w:vAlign w:val="center"/>
          </w:tcPr>
          <w:p>
            <w:pPr>
              <w:jc w:val="right"/>
            </w:pPr>
            <w:r>
              <w:rPr>
                <w:rFonts w:ascii="宋体" w:eastAsia="宋体" w:hAnsi="宋体" w:cs="宋体"/>
                <w:b w:val="0"/>
                <w:i w:val="0"/>
                <w:color w:val="000000"/>
                <w:sz w:val="18"/>
              </w:rPr>
              <w:t xml:space="preserve">223.16</w:t>
            </w:r>
          </w:p>
        </w:tc>
        <w:tc>
          <w:tcPr>
            <w:tcW w:w="1772" w:type="dxa"/>
            <w:tcBorders/>
            <w:vAlign w:val="center"/>
          </w:tcPr>
          <w:p>
            <w:pPr>
              <w:jc w:val="right"/>
            </w:pPr>
            <w:r>
              <w:rPr>
                <w:rFonts w:ascii="宋体" w:eastAsia="宋体" w:hAnsi="宋体" w:cs="宋体"/>
                <w:b w:val="0"/>
                <w:i w:val="0"/>
                <w:color w:val="000000"/>
                <w:sz w:val="18"/>
              </w:rPr>
              <w:t xml:space="preserve">6.32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20137</w:t>
            </w:r>
          </w:p>
        </w:tc>
        <w:tc>
          <w:tcPr>
            <w:tcW w:w="4300" w:type="dxa"/>
            <w:tcBorders/>
            <w:vAlign w:val="center"/>
          </w:tcPr>
          <w:p>
            <w:pPr>
              <w:jc w:val="left"/>
            </w:pPr>
            <w:r>
              <w:rPr>
                <w:rFonts w:ascii="宋体" w:eastAsia="宋体" w:hAnsi="宋体" w:cs="宋体"/>
                <w:b w:val="0"/>
                <w:i w:val="0"/>
                <w:color w:val="000000"/>
                <w:sz w:val="18"/>
              </w:rPr>
              <w:t xml:space="preserve">网信事务</w:t>
            </w:r>
          </w:p>
        </w:tc>
        <w:tc>
          <w:tcPr>
            <w:tcW w:w="1780" w:type="dxa"/>
            <w:tcBorders/>
            <w:vAlign w:val="center"/>
          </w:tcPr>
          <w:p>
            <w:pPr>
              <w:jc w:val="right"/>
            </w:pPr>
            <w:r>
              <w:rPr>
                <w:rFonts w:ascii="宋体" w:eastAsia="宋体" w:hAnsi="宋体" w:cs="宋体"/>
                <w:b w:val="0"/>
                <w:i w:val="0"/>
                <w:color w:val="000000"/>
                <w:sz w:val="18"/>
              </w:rPr>
              <w:t xml:space="preserve">229.48</w:t>
            </w:r>
          </w:p>
        </w:tc>
        <w:tc>
          <w:tcPr>
            <w:tcW w:w="1780" w:type="dxa"/>
            <w:tcBorders/>
            <w:vAlign w:val="center"/>
          </w:tcPr>
          <w:p>
            <w:pPr>
              <w:jc w:val="right"/>
            </w:pPr>
            <w:r>
              <w:rPr>
                <w:rFonts w:ascii="宋体" w:eastAsia="宋体" w:hAnsi="宋体" w:cs="宋体"/>
                <w:b w:val="0"/>
                <w:i w:val="0"/>
                <w:color w:val="000000"/>
                <w:sz w:val="18"/>
              </w:rPr>
              <w:t xml:space="preserve">223.16</w:t>
            </w:r>
          </w:p>
        </w:tc>
        <w:tc>
          <w:tcPr>
            <w:tcW w:w="1772" w:type="dxa"/>
            <w:tcBorders/>
            <w:vAlign w:val="center"/>
          </w:tcPr>
          <w:p>
            <w:pPr>
              <w:jc w:val="right"/>
            </w:pPr>
            <w:r>
              <w:rPr>
                <w:rFonts w:ascii="宋体" w:eastAsia="宋体" w:hAnsi="宋体" w:cs="宋体"/>
                <w:b w:val="0"/>
                <w:i w:val="0"/>
                <w:color w:val="000000"/>
                <w:sz w:val="18"/>
              </w:rPr>
              <w:t xml:space="preserve">6.32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2013750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223.16</w:t>
            </w:r>
          </w:p>
        </w:tc>
        <w:tc>
          <w:tcPr>
            <w:tcW w:w="1780" w:type="dxa"/>
            <w:tcBorders/>
            <w:vAlign w:val="center"/>
          </w:tcPr>
          <w:p>
            <w:pPr>
              <w:jc w:val="right"/>
            </w:pPr>
            <w:r>
              <w:rPr>
                <w:rFonts w:ascii="宋体" w:eastAsia="宋体" w:hAnsi="宋体" w:cs="宋体"/>
                <w:b w:val="0"/>
                <w:i w:val="0"/>
                <w:color w:val="000000"/>
                <w:sz w:val="18"/>
              </w:rPr>
              <w:t xml:space="preserve">223.16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2013799</w:t>
            </w:r>
          </w:p>
        </w:tc>
        <w:tc>
          <w:tcPr>
            <w:tcW w:w="4300" w:type="dxa"/>
            <w:tcBorders/>
            <w:vAlign w:val="center"/>
          </w:tcPr>
          <w:p>
            <w:pPr>
              <w:jc w:val="left"/>
            </w:pPr>
            <w:r>
              <w:rPr>
                <w:rFonts w:ascii="宋体" w:eastAsia="宋体" w:hAnsi="宋体" w:cs="宋体"/>
                <w:b w:val="0"/>
                <w:i w:val="0"/>
                <w:color w:val="000000"/>
                <w:sz w:val="18"/>
              </w:rPr>
              <w:t xml:space="preserve">其他网信事务支出</w:t>
            </w:r>
          </w:p>
        </w:tc>
        <w:tc>
          <w:tcPr>
            <w:tcW w:w="1780" w:type="dxa"/>
            <w:tcBorders/>
            <w:vAlign w:val="center"/>
          </w:tcPr>
          <w:p>
            <w:pPr>
              <w:jc w:val="right"/>
            </w:pPr>
            <w:r>
              <w:rPr>
                <w:rFonts w:ascii="宋体" w:eastAsia="宋体" w:hAnsi="宋体" w:cs="宋体"/>
                <w:b w:val="0"/>
                <w:i w:val="0"/>
                <w:color w:val="000000"/>
                <w:sz w:val="18"/>
              </w:rPr>
              <w:t xml:space="preserve">6.32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6.32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37.29</w:t>
            </w:r>
          </w:p>
        </w:tc>
        <w:tc>
          <w:tcPr>
            <w:tcW w:w="1780" w:type="dxa"/>
            <w:tcBorders/>
            <w:vAlign w:val="center"/>
          </w:tcPr>
          <w:p>
            <w:pPr>
              <w:jc w:val="right"/>
            </w:pPr>
            <w:r>
              <w:rPr>
                <w:rFonts w:ascii="宋体" w:eastAsia="宋体" w:hAnsi="宋体" w:cs="宋体"/>
                <w:b w:val="0"/>
                <w:i w:val="0"/>
                <w:color w:val="000000"/>
                <w:sz w:val="18"/>
              </w:rPr>
              <w:t xml:space="preserve">37.29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37.29</w:t>
            </w:r>
          </w:p>
        </w:tc>
        <w:tc>
          <w:tcPr>
            <w:tcW w:w="1780" w:type="dxa"/>
            <w:tcBorders/>
            <w:vAlign w:val="center"/>
          </w:tcPr>
          <w:p>
            <w:pPr>
              <w:jc w:val="right"/>
            </w:pPr>
            <w:r>
              <w:rPr>
                <w:rFonts w:ascii="宋体" w:eastAsia="宋体" w:hAnsi="宋体" w:cs="宋体"/>
                <w:b w:val="0"/>
                <w:i w:val="0"/>
                <w:color w:val="000000"/>
                <w:sz w:val="18"/>
              </w:rPr>
              <w:t xml:space="preserve">37.29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0.20</w:t>
            </w:r>
          </w:p>
        </w:tc>
        <w:tc>
          <w:tcPr>
            <w:tcW w:w="1780" w:type="dxa"/>
            <w:tcBorders/>
            <w:vAlign w:val="center"/>
          </w:tcPr>
          <w:p>
            <w:pPr>
              <w:jc w:val="right"/>
            </w:pPr>
            <w:r>
              <w:rPr>
                <w:rFonts w:ascii="宋体" w:eastAsia="宋体" w:hAnsi="宋体" w:cs="宋体"/>
                <w:b w:val="0"/>
                <w:i w:val="0"/>
                <w:color w:val="000000"/>
                <w:sz w:val="18"/>
              </w:rPr>
              <w:t xml:space="preserve">0.20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28.76</w:t>
            </w:r>
          </w:p>
        </w:tc>
        <w:tc>
          <w:tcPr>
            <w:tcW w:w="1780" w:type="dxa"/>
            <w:tcBorders/>
            <w:vAlign w:val="center"/>
          </w:tcPr>
          <w:p>
            <w:pPr>
              <w:jc w:val="right"/>
            </w:pPr>
            <w:r>
              <w:rPr>
                <w:rFonts w:ascii="宋体" w:eastAsia="宋体" w:hAnsi="宋体" w:cs="宋体"/>
                <w:b w:val="0"/>
                <w:i w:val="0"/>
                <w:color w:val="000000"/>
                <w:sz w:val="18"/>
              </w:rPr>
              <w:t xml:space="preserve">28.76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8.33</w:t>
            </w:r>
          </w:p>
        </w:tc>
        <w:tc>
          <w:tcPr>
            <w:tcW w:w="1780" w:type="dxa"/>
            <w:tcBorders/>
            <w:vAlign w:val="center"/>
          </w:tcPr>
          <w:p>
            <w:pPr>
              <w:jc w:val="right"/>
            </w:pPr>
            <w:r>
              <w:rPr>
                <w:rFonts w:ascii="宋体" w:eastAsia="宋体" w:hAnsi="宋体" w:cs="宋体"/>
                <w:b w:val="0"/>
                <w:i w:val="0"/>
                <w:color w:val="000000"/>
                <w:sz w:val="18"/>
              </w:rPr>
              <w:t xml:space="preserve">8.33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13.81</w:t>
            </w:r>
          </w:p>
        </w:tc>
        <w:tc>
          <w:tcPr>
            <w:tcW w:w="1780" w:type="dxa"/>
            <w:tcBorders/>
            <w:vAlign w:val="center"/>
          </w:tcPr>
          <w:p>
            <w:pPr>
              <w:jc w:val="right"/>
            </w:pPr>
            <w:r>
              <w:rPr>
                <w:rFonts w:ascii="宋体" w:eastAsia="宋体" w:hAnsi="宋体" w:cs="宋体"/>
                <w:b w:val="0"/>
                <w:i w:val="0"/>
                <w:color w:val="000000"/>
                <w:sz w:val="18"/>
              </w:rPr>
              <w:t xml:space="preserve">13.81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13.81</w:t>
            </w:r>
          </w:p>
        </w:tc>
        <w:tc>
          <w:tcPr>
            <w:tcW w:w="1780" w:type="dxa"/>
            <w:tcBorders/>
            <w:vAlign w:val="center"/>
          </w:tcPr>
          <w:p>
            <w:pPr>
              <w:jc w:val="right"/>
            </w:pPr>
            <w:r>
              <w:rPr>
                <w:rFonts w:ascii="宋体" w:eastAsia="宋体" w:hAnsi="宋体" w:cs="宋体"/>
                <w:b w:val="0"/>
                <w:i w:val="0"/>
                <w:color w:val="000000"/>
                <w:sz w:val="18"/>
              </w:rPr>
              <w:t xml:space="preserve">13.81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13.81</w:t>
            </w:r>
          </w:p>
        </w:tc>
        <w:tc>
          <w:tcPr>
            <w:tcW w:w="1780" w:type="dxa"/>
            <w:tcBorders/>
            <w:vAlign w:val="center"/>
          </w:tcPr>
          <w:p>
            <w:pPr>
              <w:jc w:val="right"/>
            </w:pPr>
            <w:r>
              <w:rPr>
                <w:rFonts w:ascii="宋体" w:eastAsia="宋体" w:hAnsi="宋体" w:cs="宋体"/>
                <w:b w:val="0"/>
                <w:i w:val="0"/>
                <w:color w:val="000000"/>
                <w:sz w:val="18"/>
              </w:rPr>
              <w:t xml:space="preserve">13.81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29.11</w:t>
            </w:r>
          </w:p>
        </w:tc>
        <w:tc>
          <w:tcPr>
            <w:tcW w:w="1780" w:type="dxa"/>
            <w:tcBorders/>
            <w:vAlign w:val="center"/>
          </w:tcPr>
          <w:p>
            <w:pPr>
              <w:jc w:val="right"/>
            </w:pPr>
            <w:r>
              <w:rPr>
                <w:rFonts w:ascii="宋体" w:eastAsia="宋体" w:hAnsi="宋体" w:cs="宋体"/>
                <w:b w:val="0"/>
                <w:i w:val="0"/>
                <w:color w:val="000000"/>
                <w:sz w:val="18"/>
              </w:rPr>
              <w:t xml:space="preserve">29.11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29.11</w:t>
            </w:r>
          </w:p>
        </w:tc>
        <w:tc>
          <w:tcPr>
            <w:tcW w:w="1780" w:type="dxa"/>
            <w:tcBorders/>
            <w:vAlign w:val="center"/>
          </w:tcPr>
          <w:p>
            <w:pPr>
              <w:jc w:val="right"/>
            </w:pPr>
            <w:r>
              <w:rPr>
                <w:rFonts w:ascii="宋体" w:eastAsia="宋体" w:hAnsi="宋体" w:cs="宋体"/>
                <w:b w:val="0"/>
                <w:i w:val="0"/>
                <w:color w:val="000000"/>
                <w:sz w:val="18"/>
              </w:rPr>
              <w:t xml:space="preserve">29.11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29.11</w:t>
            </w:r>
          </w:p>
        </w:tc>
        <w:tc>
          <w:tcPr>
            <w:tcW w:w="1780" w:type="dxa"/>
            <w:tcBorders/>
            <w:vAlign w:val="center"/>
          </w:tcPr>
          <w:p>
            <w:pPr>
              <w:jc w:val="right"/>
            </w:pPr>
            <w:r>
              <w:rPr>
                <w:rFonts w:ascii="宋体" w:eastAsia="宋体" w:hAnsi="宋体" w:cs="宋体"/>
                <w:b w:val="0"/>
                <w:i w:val="0"/>
                <w:color w:val="000000"/>
                <w:sz w:val="18"/>
              </w:rPr>
              <w:t xml:space="preserve">29.11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单位：辽宁省沈阳市浑南区互联网舆情监测中心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286.12</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17.04</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72.65</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4.75</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4.19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7.25</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120.78</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28.76</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8.33</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10.43</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13.81</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1.26</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29.11</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0.20</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0.20</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1.86</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jc w:val="right"/>
            </w:pPr>
            <w:r>
              <w:rPr>
                <w:rFonts w:ascii="宋体" w:eastAsia="宋体" w:hAnsi="宋体" w:cs="宋体"/>
                <w:b w:val="0"/>
                <w:i w:val="0"/>
                <w:color w:val="000000"/>
                <w:sz w:val="14"/>
              </w:rPr>
              <w:t xml:space="preserve">0.01</w:t>
            </w: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286.32</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17.04</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单位：辽宁省沈阳市浑南区互联网舆情监测中心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单位：辽宁省沈阳市浑南区互联网舆情监测中心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单位：辽宁省沈阳市浑南区互联网舆情监测中心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沈阳市浑南区互联网舆情监测中心-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74.25%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2024年雇员经费合计48024元（其中：办公经费15016元；伙食补助21600元；采暖费6240元；工会经费5168元）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按时完成已拨付资金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48024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33710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经费保障:因财政资金较为紧张，足额保障我部门的雇员经费较为困难，导致未能全部完成资金的发放。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发放经费人数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46916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33710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经费保障:因财政资金较为紧张，足额保障我部门的雇员经费较为困难，导致未能全部完成资金的发放。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项目预算完成率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项目数完成率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项目预算完成率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项目数完成率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经费下达执行率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经费下达执行率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3.371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经费保障:因财政资金较为紧张，足额保障我部门的雇员经费较为困难，导致未能全部完成资金的发放。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经费发放标准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3.371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经费保障:因财政资金较为紧张，足额保障我部门的雇员经费较为困难，导致未能全部完成资金的发放。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48024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33710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经费保障:因财政资金较为紧张，足额保障我部门的雇员经费较为困难，导致未能全部完成资金的发放。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保障经费按期支出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46916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33741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经费保障:因财政资金较为紧张，足额保障我部门的雇员经费较为困难，导致未能全部完成资金的发放。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经费保障:坚持过紧日子思想，仅将必要的支出列入预算内，同时积极向财政部门申请对我部门的资金支持。</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保障经费的支付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0.42511013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中共沈阳市浑南区委宣传部-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沈阳市浑南区互联网舆情监测中心-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舆情中心2024年将残疾人就业保障金经费纳入宣传部预算，核算公式:(没有安排残疾人就业)2023年在职在编人数16人*1710元(2023年预计社平工资114000*1.5%=1710元)=2024年应缴残疾人就业保障金金额27360元。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按时完成财政资金拨付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服务或受益对象满意度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007002沈阳市浑南区互联网舆情监测中心-210112000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323.15</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323.15</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10.43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10.42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74.82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74.82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211.50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211.5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负责互联网舆情监测、分析和报送工作，承担监测系统技术保障工作；负责网络安全应急指挥的事务性工作和属地互联网举报的事务性工作；完成市委网信办、区委网信办交办的其他任务；完成区委宣传部交办的其他任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时完成互联网舆情监测、分析和报送工作，承担监测系统技术保障工作；负责网络安全应急指挥的事务性工作和属地互联网举报的事务性工作；完成市委网信办、区委网信办交办的其他任务；完成区委宣传部交办的其他任务。</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有利于促进社会主义精神文明建设</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公益电影放映场次完成率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活动参与者满意度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建立绩效激励机制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明确融媒体采编部门责任划分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创新驱动发展</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开展信息调研</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