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中共辽宁省沈阳市浑南区委、沈阳市浑南区人民政府信访局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中共辽宁省沈阳市浑南区委、沈阳市浑南区人民政府信访局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中共辽宁省沈阳市浑南区委、沈阳市浑南区人民政府信访局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中共辽宁省沈阳市浑南区委、沈阳市浑南区人民政府信访局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中共辽宁省沈阳市浑南区委、沈阳市浑南区人民政府信访局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中共辽宁省沈阳市浑南区委、沈阳市浑南区人民政府信访局概况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（一）贯彻落实国家、省、市有关信访工作的法律、法规和工作部署，做好全区信访工作；</w:t>
        <w:br/>
        <w:t xml:space="preserve">    （二）承办国家、省、市和区委、区政府领导交办的信访事项；</w:t>
        <w:br/>
        <w:t xml:space="preserve">    （三）代表区委、区政府接待、受理、转送、交办、督办信访事项；</w:t>
        <w:br/>
        <w:t xml:space="preserve">    （四）协调处理跨功能区、跨部门的重要信访事项；</w:t>
        <w:br/>
        <w:t xml:space="preserve">    （五）协调、配合有关部门规范信访秩序，及时向区委、区政府提供舆情信息，并提出意见和建议；</w:t>
        <w:br/>
        <w:t xml:space="preserve">    （六）承办区委、区政府交办的其他事项。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中共辽宁省沈阳市浑南区委、沈阳市浑南区人民政府信访局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1.中共辽宁省沈阳市浑南区委、沈阳市浑南区人民政府信访局本级</w:t>
        <w:br/>
        <w:t xml:space="preserve">    2.沈阳市浑南区信访事务服务中心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621.73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619.23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99.60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619.23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2.50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0.40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主要是崔立岩救助金款等收入。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增加72.39万元，增长13.18%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信访中心上年度新成立，从上年四月起开始核算。另，2024年新招录4名事业人员，故2024年财政拨款收入较2023年增长。</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621.73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437.31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70.34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工资福利支出404.66万元；商品和服务支出31.28万元；对个人和家庭的补助1.37万元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184.42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29.66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主要包括驻京维稳、特殊时期维稳等业务支出。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增加72.39万元，增长13.18%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信访中心上年度新成立，从上年四月起开始核算。另，2024年新招录4名事业人员，故2024年支出较2023年增长</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单位收支相抵，无结余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619.23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437.31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181.92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增加70.04万元，增长12.75%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信访中心上年度新成立，从上年四月起开始核算。另，2024年新招录4名事业人员，故2024年财政拨款支出较2023年增长</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86.38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102.80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62.41</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2024年度一般公共预算财政拨款支出619.23万元。按支出功能分类科目分，包括：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1.一般公共服务支出509.25万元，具体包括：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127.72万元,主要是工资福利、商品服务等支出，完成年初预算的72.92%，决算数与年初预算数存在差异的主要原因是部分人员经费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10.19万元,主要是雇员、派遣人员办公经费、伙食费等支出，完成年初预算的75.09%，决算数与年初预算数存在差异的主要原因是有部分雇员派遣人员办公费、伙食费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事业运行（项）199.61万元,主要是中心人员及公用经费等支出，完成年初预算的88.62%，决算数与年初预算数存在差异的主要原因是绩效、通讯补助等人员类支出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信访事务（款）信访业务（项）169.53万元,主要是驻京维稳、特殊时期维稳等支出，完成年初预算的92.16%，决算数与年初预算数存在差异的主要原因是根据节约支出要求，档案整理、信访大厅装修等项目未施工。</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信访事务（款）其他信访事务支出（项）2.20万元,主要是残疾人就业保障金等支出，完成年初预算的91.67%，决算数与年初预算数存在差异的主要原因是预算按照上年的平均人数及计算方法，2024年按相关单位核定标准据实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2.社会保障和就业支出50.96万元，具体包括：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1.09万元,主要是退休人员取暖费等支出等支出，完成年初预算的53.43%，决算数与年初预算数存在差异的主要原因是部分退休人员一次性独生子女费未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0.27万元,主要是退休人员取暖费等支出，完成年初预算的37.5%，决算数与年初预算数存在差异的主要原因是年初预算中的退休人员独生子女费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40.22万元,主要是在职人员养老保险等支出，完成年初预算的90.24%，决算数与年初预算数存在差异的主要原因是有人员调出及退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9.38万元,主要是缴纳退休人员职业年金单位承担部分等支出，完成年初预算的100%，决算数与年初预算数存在差异的主要原因是年初未安排职业年金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3.卫生健康支出17.20万元，具体包括：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（1）卫生健康支出（类）行政事业单位医疗（款）行政单位医疗（项）5.81万元,主要是在职行政人员医疗保险等支出，完成年初预算的73.73%，决算数与年初预算数存在差异的主要原因是有人员调出及退休。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11.39万元,主要是在职事业人员医疗保险等支出，完成年初预算的114.36%，决算数与年初预算数存在差异的主要原因是支出增加了2024年新入职人员医保及医疗保险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4.住房保障支出41.83万元，具体包括：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41.83万元,主要是在职人员公积金等支出，完成年初预算的66.61%，决算数与年初预算数存在差异的主要原因是有人员调出及退休，并且当年高比例公积金未拨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无相关支出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无相关支出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无相关支出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437.31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406.03</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31.28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16.90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比上年增加0.99万元，增长6.22%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车补支出较上年增加约1万元，有人员晋级及补发</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具体而言，本年度我部门共组织对15个项目实施了绩效评价。从预算资金来源看，涉及一般公共预算的项目15个，涉及政府性基金预算的项目0个，涉及国有资本经营预算的项目0个。</w:t>
        <w:br/>
        <w:t xml:space="preserve">    上述评价工作共涉及财政资金181.92万元。其中，一般公共预算资金181.92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7个；得分在80分（含）至90分、等级为“良”的项目有1个；得分在60分（含）至80分、等级为“中”的项目有1；得分在60分以下、等级为“差”的项目有6个。各项目自评发现，部分项目存在预算执行进度偏慢、个别效益指标未能完全达成等问题，已要求相关项目单位分析原因并制定改进措施。</w:t>
        <w:br/>
        <w:t xml:space="preserve">    3.部门重点评价情况及结果。</w:t>
        <w:br/>
        <w:t xml:space="preserve">    在全面自评的基础上，本部门选取了5个资金量大、社会关注度高、具有代表性的重点项目实施了部门重点评价。评价工作通过组建评价小组、现场核查、数据采集分析方式进行，确保了评价结果的客观性和公正性。</w:t>
        <w:br/>
        <w:t xml:space="preserve">    我部门组织对5个项目重点评价，结果显示，被评价项目整体绩效情况良好。其中：第一个重点项目为专家评审费用，涉及资金3.08万元，评价平均分为99.51分，评级情况为优；第二个重点项目为社会稳定维护专项业务经费，涉及资金26.55万元，评价平均分为99.55分，评级情况为优；第三个重点项目为驻京集中办公人员酒店租赁，涉及资金20.81万元，评价平均分为100分，评级情况为优；第四个重点项目为顾问费，涉及资金2.13万元，评价平均分为59分，评级情况为差；第五个重点项目为缴纳残疾人就业保障金，涉及资金2.2万元，评价平均分为99.17分，评级情况为优。同时，评价也发现顾问费项目存在问题，如：未按照实际需求细化、未深入了解顾问实际工作月数、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部门：中共辽宁省沈阳市浑南区委、沈阳市浑南区人民政府信访局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619.23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511.74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2.50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50.96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17.20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41.83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621.73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621.73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621.73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621.73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部门：中共辽宁省沈阳市浑南区委、沈阳市浑南区人民政府信访局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621.73</w:t>
            </w:r>
          </w:p>
        </w:tc>
        <w:tc>
          <w:tcPr>
            <w:tcW w:w="960" w:type="dxa"/>
            <w:tcBorders/>
            <w:vAlign w:val="center"/>
          </w:tcPr>
          <w:p>
            <w:pPr>
              <w:jc w:val="right"/>
            </w:pPr>
            <w:r>
              <w:rPr>
                <w:rFonts w:ascii="宋体" w:eastAsia="宋体" w:hAnsi="宋体" w:cs="宋体"/>
                <w:b/>
                <w:i w:val="0"/>
                <w:color w:val="000000"/>
                <w:sz w:val="13"/>
              </w:rPr>
              <w:t xml:space="preserve">619.23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2.50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511.75</w:t>
            </w:r>
          </w:p>
        </w:tc>
        <w:tc>
          <w:tcPr>
            <w:tcW w:w="960" w:type="dxa"/>
            <w:tcBorders/>
            <w:vAlign w:val="center"/>
          </w:tcPr>
          <w:p>
            <w:pPr>
              <w:jc w:val="right"/>
            </w:pPr>
            <w:r>
              <w:rPr>
                <w:rFonts w:ascii="宋体" w:eastAsia="宋体" w:hAnsi="宋体" w:cs="宋体"/>
                <w:b w:val="0"/>
                <w:i w:val="0"/>
                <w:color w:val="000000"/>
                <w:sz w:val="13"/>
              </w:rPr>
              <w:t xml:space="preserve">509.25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340.02</w:t>
            </w:r>
          </w:p>
        </w:tc>
        <w:tc>
          <w:tcPr>
            <w:tcW w:w="960" w:type="dxa"/>
            <w:tcBorders/>
            <w:vAlign w:val="center"/>
          </w:tcPr>
          <w:p>
            <w:pPr>
              <w:jc w:val="right"/>
            </w:pPr>
            <w:r>
              <w:rPr>
                <w:rFonts w:ascii="宋体" w:eastAsia="宋体" w:hAnsi="宋体" w:cs="宋体"/>
                <w:b w:val="0"/>
                <w:i w:val="0"/>
                <w:color w:val="000000"/>
                <w:sz w:val="13"/>
              </w:rPr>
              <w:t xml:space="preserve">337.52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127.72</w:t>
            </w:r>
          </w:p>
        </w:tc>
        <w:tc>
          <w:tcPr>
            <w:tcW w:w="960" w:type="dxa"/>
            <w:tcBorders/>
            <w:vAlign w:val="center"/>
          </w:tcPr>
          <w:p>
            <w:pPr>
              <w:jc w:val="right"/>
            </w:pPr>
            <w:r>
              <w:rPr>
                <w:rFonts w:ascii="宋体" w:eastAsia="宋体" w:hAnsi="宋体" w:cs="宋体"/>
                <w:b w:val="0"/>
                <w:i w:val="0"/>
                <w:color w:val="000000"/>
                <w:sz w:val="13"/>
              </w:rPr>
              <w:t xml:space="preserve">127.72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12.69</w:t>
            </w:r>
          </w:p>
        </w:tc>
        <w:tc>
          <w:tcPr>
            <w:tcW w:w="960" w:type="dxa"/>
            <w:tcBorders/>
            <w:vAlign w:val="center"/>
          </w:tcPr>
          <w:p>
            <w:pPr>
              <w:jc w:val="right"/>
            </w:pPr>
            <w:r>
              <w:rPr>
                <w:rFonts w:ascii="宋体" w:eastAsia="宋体" w:hAnsi="宋体" w:cs="宋体"/>
                <w:b w:val="0"/>
                <w:i w:val="0"/>
                <w:color w:val="000000"/>
                <w:sz w:val="13"/>
              </w:rPr>
              <w:t xml:space="preserve">10.19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199.61</w:t>
            </w:r>
          </w:p>
        </w:tc>
        <w:tc>
          <w:tcPr>
            <w:tcW w:w="960" w:type="dxa"/>
            <w:tcBorders/>
            <w:vAlign w:val="center"/>
          </w:tcPr>
          <w:p>
            <w:pPr>
              <w:jc w:val="right"/>
            </w:pPr>
            <w:r>
              <w:rPr>
                <w:rFonts w:ascii="宋体" w:eastAsia="宋体" w:hAnsi="宋体" w:cs="宋体"/>
                <w:b w:val="0"/>
                <w:i w:val="0"/>
                <w:color w:val="000000"/>
                <w:sz w:val="13"/>
              </w:rPr>
              <w:t xml:space="preserve">199.61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171.73</w:t>
            </w:r>
          </w:p>
        </w:tc>
        <w:tc>
          <w:tcPr>
            <w:tcW w:w="960" w:type="dxa"/>
            <w:tcBorders/>
            <w:vAlign w:val="center"/>
          </w:tcPr>
          <w:p>
            <w:pPr>
              <w:jc w:val="right"/>
            </w:pPr>
            <w:r>
              <w:rPr>
                <w:rFonts w:ascii="宋体" w:eastAsia="宋体" w:hAnsi="宋体" w:cs="宋体"/>
                <w:b w:val="0"/>
                <w:i w:val="0"/>
                <w:color w:val="000000"/>
                <w:sz w:val="13"/>
              </w:rPr>
              <w:t xml:space="preserve">171.73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169.53</w:t>
            </w:r>
          </w:p>
        </w:tc>
        <w:tc>
          <w:tcPr>
            <w:tcW w:w="960" w:type="dxa"/>
            <w:tcBorders/>
            <w:vAlign w:val="center"/>
          </w:tcPr>
          <w:p>
            <w:pPr>
              <w:jc w:val="right"/>
            </w:pPr>
            <w:r>
              <w:rPr>
                <w:rFonts w:ascii="宋体" w:eastAsia="宋体" w:hAnsi="宋体" w:cs="宋体"/>
                <w:b w:val="0"/>
                <w:i w:val="0"/>
                <w:color w:val="000000"/>
                <w:sz w:val="13"/>
              </w:rPr>
              <w:t xml:space="preserve">169.53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2014099</w:t>
            </w:r>
          </w:p>
        </w:tc>
        <w:tc>
          <w:tcPr>
            <w:tcW w:w="3200" w:type="dxa"/>
            <w:tcBorders/>
            <w:vAlign w:val="center"/>
          </w:tcPr>
          <w:p>
            <w:pPr>
              <w:jc w:val="left"/>
            </w:pPr>
            <w:r>
              <w:rPr>
                <w:rFonts w:ascii="宋体" w:eastAsia="宋体" w:hAnsi="宋体" w:cs="宋体"/>
                <w:b w:val="0"/>
                <w:i w:val="0"/>
                <w:color w:val="000000"/>
                <w:sz w:val="13"/>
              </w:rPr>
              <w:t xml:space="preserve">其他信访事务支出</w:t>
            </w:r>
          </w:p>
        </w:tc>
        <w:tc>
          <w:tcPr>
            <w:tcW w:w="960" w:type="dxa"/>
            <w:tcBorders/>
            <w:vAlign w:val="center"/>
          </w:tcPr>
          <w:p>
            <w:pPr>
              <w:jc w:val="right"/>
            </w:pPr>
            <w:r>
              <w:rPr>
                <w:rFonts w:ascii="宋体" w:eastAsia="宋体" w:hAnsi="宋体" w:cs="宋体"/>
                <w:b w:val="0"/>
                <w:i w:val="0"/>
                <w:color w:val="000000"/>
                <w:sz w:val="13"/>
              </w:rPr>
              <w:t xml:space="preserve">2.20</w:t>
            </w:r>
          </w:p>
        </w:tc>
        <w:tc>
          <w:tcPr>
            <w:tcW w:w="960" w:type="dxa"/>
            <w:tcBorders/>
            <w:vAlign w:val="center"/>
          </w:tcPr>
          <w:p>
            <w:pPr>
              <w:jc w:val="right"/>
            </w:pPr>
            <w:r>
              <w:rPr>
                <w:rFonts w:ascii="宋体" w:eastAsia="宋体" w:hAnsi="宋体" w:cs="宋体"/>
                <w:b w:val="0"/>
                <w:i w:val="0"/>
                <w:color w:val="000000"/>
                <w:sz w:val="13"/>
              </w:rPr>
              <w:t xml:space="preserve">2.20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50.96</w:t>
            </w:r>
          </w:p>
        </w:tc>
        <w:tc>
          <w:tcPr>
            <w:tcW w:w="960" w:type="dxa"/>
            <w:tcBorders/>
            <w:vAlign w:val="center"/>
          </w:tcPr>
          <w:p>
            <w:pPr>
              <w:jc w:val="right"/>
            </w:pPr>
            <w:r>
              <w:rPr>
                <w:rFonts w:ascii="宋体" w:eastAsia="宋体" w:hAnsi="宋体" w:cs="宋体"/>
                <w:b w:val="0"/>
                <w:i w:val="0"/>
                <w:color w:val="000000"/>
                <w:sz w:val="13"/>
              </w:rPr>
              <w:t xml:space="preserve">50.96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50.96</w:t>
            </w:r>
          </w:p>
        </w:tc>
        <w:tc>
          <w:tcPr>
            <w:tcW w:w="960" w:type="dxa"/>
            <w:tcBorders/>
            <w:vAlign w:val="center"/>
          </w:tcPr>
          <w:p>
            <w:pPr>
              <w:jc w:val="right"/>
            </w:pPr>
            <w:r>
              <w:rPr>
                <w:rFonts w:ascii="宋体" w:eastAsia="宋体" w:hAnsi="宋体" w:cs="宋体"/>
                <w:b w:val="0"/>
                <w:i w:val="0"/>
                <w:color w:val="000000"/>
                <w:sz w:val="13"/>
              </w:rPr>
              <w:t xml:space="preserve">50.96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1.09</w:t>
            </w:r>
          </w:p>
        </w:tc>
        <w:tc>
          <w:tcPr>
            <w:tcW w:w="960" w:type="dxa"/>
            <w:tcBorders/>
            <w:vAlign w:val="center"/>
          </w:tcPr>
          <w:p>
            <w:pPr>
              <w:jc w:val="right"/>
            </w:pPr>
            <w:r>
              <w:rPr>
                <w:rFonts w:ascii="宋体" w:eastAsia="宋体" w:hAnsi="宋体" w:cs="宋体"/>
                <w:b w:val="0"/>
                <w:i w:val="0"/>
                <w:color w:val="000000"/>
                <w:sz w:val="13"/>
              </w:rPr>
              <w:t xml:space="preserve">1.09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40.22</w:t>
            </w:r>
          </w:p>
        </w:tc>
        <w:tc>
          <w:tcPr>
            <w:tcW w:w="960" w:type="dxa"/>
            <w:tcBorders/>
            <w:vAlign w:val="center"/>
          </w:tcPr>
          <w:p>
            <w:pPr>
              <w:jc w:val="right"/>
            </w:pPr>
            <w:r>
              <w:rPr>
                <w:rFonts w:ascii="宋体" w:eastAsia="宋体" w:hAnsi="宋体" w:cs="宋体"/>
                <w:b w:val="0"/>
                <w:i w:val="0"/>
                <w:color w:val="000000"/>
                <w:sz w:val="13"/>
              </w:rPr>
              <w:t xml:space="preserve">40.22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9.38</w:t>
            </w:r>
          </w:p>
        </w:tc>
        <w:tc>
          <w:tcPr>
            <w:tcW w:w="960" w:type="dxa"/>
            <w:tcBorders/>
            <w:vAlign w:val="center"/>
          </w:tcPr>
          <w:p>
            <w:pPr>
              <w:jc w:val="right"/>
            </w:pPr>
            <w:r>
              <w:rPr>
                <w:rFonts w:ascii="宋体" w:eastAsia="宋体" w:hAnsi="宋体" w:cs="宋体"/>
                <w:b w:val="0"/>
                <w:i w:val="0"/>
                <w:color w:val="000000"/>
                <w:sz w:val="13"/>
              </w:rPr>
              <w:t xml:space="preserve">9.38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17.20</w:t>
            </w:r>
          </w:p>
        </w:tc>
        <w:tc>
          <w:tcPr>
            <w:tcW w:w="960" w:type="dxa"/>
            <w:tcBorders/>
            <w:vAlign w:val="center"/>
          </w:tcPr>
          <w:p>
            <w:pPr>
              <w:jc w:val="right"/>
            </w:pPr>
            <w:r>
              <w:rPr>
                <w:rFonts w:ascii="宋体" w:eastAsia="宋体" w:hAnsi="宋体" w:cs="宋体"/>
                <w:b w:val="0"/>
                <w:i w:val="0"/>
                <w:color w:val="000000"/>
                <w:sz w:val="13"/>
              </w:rPr>
              <w:t xml:space="preserve">17.20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17.20</w:t>
            </w:r>
          </w:p>
        </w:tc>
        <w:tc>
          <w:tcPr>
            <w:tcW w:w="960" w:type="dxa"/>
            <w:tcBorders/>
            <w:vAlign w:val="center"/>
          </w:tcPr>
          <w:p>
            <w:pPr>
              <w:jc w:val="right"/>
            </w:pPr>
            <w:r>
              <w:rPr>
                <w:rFonts w:ascii="宋体" w:eastAsia="宋体" w:hAnsi="宋体" w:cs="宋体"/>
                <w:b w:val="0"/>
                <w:i w:val="0"/>
                <w:color w:val="000000"/>
                <w:sz w:val="13"/>
              </w:rPr>
              <w:t xml:space="preserve">17.20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11.39</w:t>
            </w:r>
          </w:p>
        </w:tc>
        <w:tc>
          <w:tcPr>
            <w:tcW w:w="960" w:type="dxa"/>
            <w:tcBorders/>
            <w:vAlign w:val="center"/>
          </w:tcPr>
          <w:p>
            <w:pPr>
              <w:jc w:val="right"/>
            </w:pPr>
            <w:r>
              <w:rPr>
                <w:rFonts w:ascii="宋体" w:eastAsia="宋体" w:hAnsi="宋体" w:cs="宋体"/>
                <w:b w:val="0"/>
                <w:i w:val="0"/>
                <w:color w:val="000000"/>
                <w:sz w:val="13"/>
              </w:rPr>
              <w:t xml:space="preserve">11.39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41.83</w:t>
            </w:r>
          </w:p>
        </w:tc>
        <w:tc>
          <w:tcPr>
            <w:tcW w:w="960" w:type="dxa"/>
            <w:tcBorders/>
            <w:vAlign w:val="center"/>
          </w:tcPr>
          <w:p>
            <w:pPr>
              <w:jc w:val="right"/>
            </w:pPr>
            <w:r>
              <w:rPr>
                <w:rFonts w:ascii="宋体" w:eastAsia="宋体" w:hAnsi="宋体" w:cs="宋体"/>
                <w:b w:val="0"/>
                <w:i w:val="0"/>
                <w:color w:val="000000"/>
                <w:sz w:val="13"/>
              </w:rPr>
              <w:t xml:space="preserve">41.83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41.83</w:t>
            </w:r>
          </w:p>
        </w:tc>
        <w:tc>
          <w:tcPr>
            <w:tcW w:w="960" w:type="dxa"/>
            <w:tcBorders/>
            <w:vAlign w:val="center"/>
          </w:tcPr>
          <w:p>
            <w:pPr>
              <w:jc w:val="right"/>
            </w:pPr>
            <w:r>
              <w:rPr>
                <w:rFonts w:ascii="宋体" w:eastAsia="宋体" w:hAnsi="宋体" w:cs="宋体"/>
                <w:b w:val="0"/>
                <w:i w:val="0"/>
                <w:color w:val="000000"/>
                <w:sz w:val="13"/>
              </w:rPr>
              <w:t xml:space="preserve">41.83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41.83</w:t>
            </w:r>
          </w:p>
        </w:tc>
        <w:tc>
          <w:tcPr>
            <w:tcW w:w="960" w:type="dxa"/>
            <w:tcBorders/>
            <w:vAlign w:val="center"/>
          </w:tcPr>
          <w:p>
            <w:pPr>
              <w:jc w:val="right"/>
            </w:pPr>
            <w:r>
              <w:rPr>
                <w:rFonts w:ascii="宋体" w:eastAsia="宋体" w:hAnsi="宋体" w:cs="宋体"/>
                <w:b w:val="0"/>
                <w:i w:val="0"/>
                <w:color w:val="000000"/>
                <w:sz w:val="13"/>
              </w:rPr>
              <w:t xml:space="preserve">41.83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部门：中共辽宁省沈阳市浑南区委、沈阳市浑南区人民政府信访局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621.73</w:t>
            </w:r>
          </w:p>
        </w:tc>
        <w:tc>
          <w:tcPr>
            <w:tcW w:w="1060" w:type="dxa"/>
            <w:tcBorders/>
            <w:vAlign w:val="center"/>
          </w:tcPr>
          <w:p>
            <w:pPr>
              <w:jc w:val="right"/>
            </w:pPr>
            <w:r>
              <w:rPr>
                <w:rFonts w:ascii="宋体" w:eastAsia="宋体" w:hAnsi="宋体" w:cs="宋体"/>
                <w:b/>
                <w:i w:val="0"/>
                <w:color w:val="000000"/>
                <w:sz w:val="14"/>
              </w:rPr>
              <w:t xml:space="preserve">437.31</w:t>
            </w:r>
          </w:p>
        </w:tc>
        <w:tc>
          <w:tcPr>
            <w:tcW w:w="1060" w:type="dxa"/>
            <w:tcBorders/>
            <w:vAlign w:val="center"/>
          </w:tcPr>
          <w:p>
            <w:pPr>
              <w:jc w:val="right"/>
            </w:pPr>
            <w:r>
              <w:rPr>
                <w:rFonts w:ascii="宋体" w:eastAsia="宋体" w:hAnsi="宋体" w:cs="宋体"/>
                <w:b/>
                <w:i w:val="0"/>
                <w:color w:val="000000"/>
                <w:sz w:val="14"/>
              </w:rPr>
              <w:t xml:space="preserve">184.42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511.75</w:t>
            </w:r>
          </w:p>
        </w:tc>
        <w:tc>
          <w:tcPr>
            <w:tcW w:w="1060" w:type="dxa"/>
            <w:tcBorders/>
            <w:vAlign w:val="center"/>
          </w:tcPr>
          <w:p>
            <w:pPr>
              <w:jc w:val="right"/>
            </w:pPr>
            <w:r>
              <w:rPr>
                <w:rFonts w:ascii="宋体" w:eastAsia="宋体" w:hAnsi="宋体" w:cs="宋体"/>
                <w:b w:val="0"/>
                <w:i w:val="0"/>
                <w:color w:val="000000"/>
                <w:sz w:val="14"/>
              </w:rPr>
              <w:t xml:space="preserve">327.33</w:t>
            </w:r>
          </w:p>
        </w:tc>
        <w:tc>
          <w:tcPr>
            <w:tcW w:w="1060" w:type="dxa"/>
            <w:tcBorders/>
            <w:vAlign w:val="center"/>
          </w:tcPr>
          <w:p>
            <w:pPr>
              <w:jc w:val="right"/>
            </w:pPr>
            <w:r>
              <w:rPr>
                <w:rFonts w:ascii="宋体" w:eastAsia="宋体" w:hAnsi="宋体" w:cs="宋体"/>
                <w:b w:val="0"/>
                <w:i w:val="0"/>
                <w:color w:val="000000"/>
                <w:sz w:val="14"/>
              </w:rPr>
              <w:t xml:space="preserve">184.42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340.02</w:t>
            </w:r>
          </w:p>
        </w:tc>
        <w:tc>
          <w:tcPr>
            <w:tcW w:w="1060" w:type="dxa"/>
            <w:tcBorders/>
            <w:vAlign w:val="center"/>
          </w:tcPr>
          <w:p>
            <w:pPr>
              <w:jc w:val="right"/>
            </w:pPr>
            <w:r>
              <w:rPr>
                <w:rFonts w:ascii="宋体" w:eastAsia="宋体" w:hAnsi="宋体" w:cs="宋体"/>
                <w:b w:val="0"/>
                <w:i w:val="0"/>
                <w:color w:val="000000"/>
                <w:sz w:val="14"/>
              </w:rPr>
              <w:t xml:space="preserve">327.33</w:t>
            </w:r>
          </w:p>
        </w:tc>
        <w:tc>
          <w:tcPr>
            <w:tcW w:w="1060" w:type="dxa"/>
            <w:tcBorders/>
            <w:vAlign w:val="center"/>
          </w:tcPr>
          <w:p>
            <w:pPr>
              <w:jc w:val="right"/>
            </w:pPr>
            <w:r>
              <w:rPr>
                <w:rFonts w:ascii="宋体" w:eastAsia="宋体" w:hAnsi="宋体" w:cs="宋体"/>
                <w:b w:val="0"/>
                <w:i w:val="0"/>
                <w:color w:val="000000"/>
                <w:sz w:val="14"/>
              </w:rPr>
              <w:t xml:space="preserve">12.69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127.72</w:t>
            </w:r>
          </w:p>
        </w:tc>
        <w:tc>
          <w:tcPr>
            <w:tcW w:w="1060" w:type="dxa"/>
            <w:tcBorders/>
            <w:vAlign w:val="center"/>
          </w:tcPr>
          <w:p>
            <w:pPr>
              <w:jc w:val="right"/>
            </w:pPr>
            <w:r>
              <w:rPr>
                <w:rFonts w:ascii="宋体" w:eastAsia="宋体" w:hAnsi="宋体" w:cs="宋体"/>
                <w:b w:val="0"/>
                <w:i w:val="0"/>
                <w:color w:val="000000"/>
                <w:sz w:val="14"/>
              </w:rPr>
              <w:t xml:space="preserve">127.72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12.69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199.61</w:t>
            </w:r>
          </w:p>
        </w:tc>
        <w:tc>
          <w:tcPr>
            <w:tcW w:w="1060" w:type="dxa"/>
            <w:tcBorders/>
            <w:vAlign w:val="center"/>
          </w:tcPr>
          <w:p>
            <w:pPr>
              <w:jc w:val="right"/>
            </w:pPr>
            <w:r>
              <w:rPr>
                <w:rFonts w:ascii="宋体" w:eastAsia="宋体" w:hAnsi="宋体" w:cs="宋体"/>
                <w:b w:val="0"/>
                <w:i w:val="0"/>
                <w:color w:val="000000"/>
                <w:sz w:val="14"/>
              </w:rPr>
              <w:t xml:space="preserve">199.61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171.73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171.73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169.53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169.53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2014099</w:t>
            </w:r>
          </w:p>
        </w:tc>
        <w:tc>
          <w:tcPr>
            <w:tcW w:w="3440" w:type="dxa"/>
            <w:tcBorders/>
            <w:vAlign w:val="center"/>
          </w:tcPr>
          <w:p>
            <w:pPr>
              <w:jc w:val="left"/>
            </w:pPr>
            <w:r>
              <w:rPr>
                <w:rFonts w:ascii="宋体" w:eastAsia="宋体" w:hAnsi="宋体" w:cs="宋体"/>
                <w:b w:val="0"/>
                <w:i w:val="0"/>
                <w:color w:val="000000"/>
                <w:sz w:val="14"/>
              </w:rPr>
              <w:t xml:space="preserve">其他信访事务支出</w:t>
            </w:r>
          </w:p>
        </w:tc>
        <w:tc>
          <w:tcPr>
            <w:tcW w:w="1060" w:type="dxa"/>
            <w:tcBorders/>
            <w:vAlign w:val="center"/>
          </w:tcPr>
          <w:p>
            <w:pPr>
              <w:jc w:val="right"/>
            </w:pPr>
            <w:r>
              <w:rPr>
                <w:rFonts w:ascii="宋体" w:eastAsia="宋体" w:hAnsi="宋体" w:cs="宋体"/>
                <w:b w:val="0"/>
                <w:i w:val="0"/>
                <w:color w:val="000000"/>
                <w:sz w:val="14"/>
              </w:rPr>
              <w:t xml:space="preserve">2.20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50.96</w:t>
            </w:r>
          </w:p>
        </w:tc>
        <w:tc>
          <w:tcPr>
            <w:tcW w:w="1060" w:type="dxa"/>
            <w:tcBorders/>
            <w:vAlign w:val="center"/>
          </w:tcPr>
          <w:p>
            <w:pPr>
              <w:jc w:val="right"/>
            </w:pPr>
            <w:r>
              <w:rPr>
                <w:rFonts w:ascii="宋体" w:eastAsia="宋体" w:hAnsi="宋体" w:cs="宋体"/>
                <w:b w:val="0"/>
                <w:i w:val="0"/>
                <w:color w:val="000000"/>
                <w:sz w:val="14"/>
              </w:rPr>
              <w:t xml:space="preserve">50.96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50.96</w:t>
            </w:r>
          </w:p>
        </w:tc>
        <w:tc>
          <w:tcPr>
            <w:tcW w:w="1060" w:type="dxa"/>
            <w:tcBorders/>
            <w:vAlign w:val="center"/>
          </w:tcPr>
          <w:p>
            <w:pPr>
              <w:jc w:val="right"/>
            </w:pPr>
            <w:r>
              <w:rPr>
                <w:rFonts w:ascii="宋体" w:eastAsia="宋体" w:hAnsi="宋体" w:cs="宋体"/>
                <w:b w:val="0"/>
                <w:i w:val="0"/>
                <w:color w:val="000000"/>
                <w:sz w:val="14"/>
              </w:rPr>
              <w:t xml:space="preserve">50.96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1.09</w:t>
            </w:r>
          </w:p>
        </w:tc>
        <w:tc>
          <w:tcPr>
            <w:tcW w:w="1060" w:type="dxa"/>
            <w:tcBorders/>
            <w:vAlign w:val="center"/>
          </w:tcPr>
          <w:p>
            <w:pPr>
              <w:jc w:val="right"/>
            </w:pPr>
            <w:r>
              <w:rPr>
                <w:rFonts w:ascii="宋体" w:eastAsia="宋体" w:hAnsi="宋体" w:cs="宋体"/>
                <w:b w:val="0"/>
                <w:i w:val="0"/>
                <w:color w:val="000000"/>
                <w:sz w:val="14"/>
              </w:rPr>
              <w:t xml:space="preserve">1.09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40.22</w:t>
            </w:r>
          </w:p>
        </w:tc>
        <w:tc>
          <w:tcPr>
            <w:tcW w:w="1060" w:type="dxa"/>
            <w:tcBorders/>
            <w:vAlign w:val="center"/>
          </w:tcPr>
          <w:p>
            <w:pPr>
              <w:jc w:val="right"/>
            </w:pPr>
            <w:r>
              <w:rPr>
                <w:rFonts w:ascii="宋体" w:eastAsia="宋体" w:hAnsi="宋体" w:cs="宋体"/>
                <w:b w:val="0"/>
                <w:i w:val="0"/>
                <w:color w:val="000000"/>
                <w:sz w:val="14"/>
              </w:rPr>
              <w:t xml:space="preserve">40.22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9.38</w:t>
            </w:r>
          </w:p>
        </w:tc>
        <w:tc>
          <w:tcPr>
            <w:tcW w:w="1060" w:type="dxa"/>
            <w:tcBorders/>
            <w:vAlign w:val="center"/>
          </w:tcPr>
          <w:p>
            <w:pPr>
              <w:jc w:val="right"/>
            </w:pPr>
            <w:r>
              <w:rPr>
                <w:rFonts w:ascii="宋体" w:eastAsia="宋体" w:hAnsi="宋体" w:cs="宋体"/>
                <w:b w:val="0"/>
                <w:i w:val="0"/>
                <w:color w:val="000000"/>
                <w:sz w:val="14"/>
              </w:rPr>
              <w:t xml:space="preserve">9.38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17.20</w:t>
            </w:r>
          </w:p>
        </w:tc>
        <w:tc>
          <w:tcPr>
            <w:tcW w:w="1060" w:type="dxa"/>
            <w:tcBorders/>
            <w:vAlign w:val="center"/>
          </w:tcPr>
          <w:p>
            <w:pPr>
              <w:jc w:val="right"/>
            </w:pPr>
            <w:r>
              <w:rPr>
                <w:rFonts w:ascii="宋体" w:eastAsia="宋体" w:hAnsi="宋体" w:cs="宋体"/>
                <w:b w:val="0"/>
                <w:i w:val="0"/>
                <w:color w:val="000000"/>
                <w:sz w:val="14"/>
              </w:rPr>
              <w:t xml:space="preserve">17.20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17.20</w:t>
            </w:r>
          </w:p>
        </w:tc>
        <w:tc>
          <w:tcPr>
            <w:tcW w:w="1060" w:type="dxa"/>
            <w:tcBorders/>
            <w:vAlign w:val="center"/>
          </w:tcPr>
          <w:p>
            <w:pPr>
              <w:jc w:val="right"/>
            </w:pPr>
            <w:r>
              <w:rPr>
                <w:rFonts w:ascii="宋体" w:eastAsia="宋体" w:hAnsi="宋体" w:cs="宋体"/>
                <w:b w:val="0"/>
                <w:i w:val="0"/>
                <w:color w:val="000000"/>
                <w:sz w:val="14"/>
              </w:rPr>
              <w:t xml:space="preserve">17.20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11.39</w:t>
            </w:r>
          </w:p>
        </w:tc>
        <w:tc>
          <w:tcPr>
            <w:tcW w:w="1060" w:type="dxa"/>
            <w:tcBorders/>
            <w:vAlign w:val="center"/>
          </w:tcPr>
          <w:p>
            <w:pPr>
              <w:jc w:val="right"/>
            </w:pPr>
            <w:r>
              <w:rPr>
                <w:rFonts w:ascii="宋体" w:eastAsia="宋体" w:hAnsi="宋体" w:cs="宋体"/>
                <w:b w:val="0"/>
                <w:i w:val="0"/>
                <w:color w:val="000000"/>
                <w:sz w:val="14"/>
              </w:rPr>
              <w:t xml:space="preserve">11.39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41.83</w:t>
            </w:r>
          </w:p>
        </w:tc>
        <w:tc>
          <w:tcPr>
            <w:tcW w:w="1060" w:type="dxa"/>
            <w:tcBorders/>
            <w:vAlign w:val="center"/>
          </w:tcPr>
          <w:p>
            <w:pPr>
              <w:jc w:val="right"/>
            </w:pPr>
            <w:r>
              <w:rPr>
                <w:rFonts w:ascii="宋体" w:eastAsia="宋体" w:hAnsi="宋体" w:cs="宋体"/>
                <w:b w:val="0"/>
                <w:i w:val="0"/>
                <w:color w:val="000000"/>
                <w:sz w:val="14"/>
              </w:rPr>
              <w:t xml:space="preserve">41.83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41.83</w:t>
            </w:r>
          </w:p>
        </w:tc>
        <w:tc>
          <w:tcPr>
            <w:tcW w:w="1060" w:type="dxa"/>
            <w:tcBorders/>
            <w:vAlign w:val="center"/>
          </w:tcPr>
          <w:p>
            <w:pPr>
              <w:jc w:val="right"/>
            </w:pPr>
            <w:r>
              <w:rPr>
                <w:rFonts w:ascii="宋体" w:eastAsia="宋体" w:hAnsi="宋体" w:cs="宋体"/>
                <w:b w:val="0"/>
                <w:i w:val="0"/>
                <w:color w:val="000000"/>
                <w:sz w:val="14"/>
              </w:rPr>
              <w:t xml:space="preserve">41.83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41.83</w:t>
            </w:r>
          </w:p>
        </w:tc>
        <w:tc>
          <w:tcPr>
            <w:tcW w:w="1060" w:type="dxa"/>
            <w:tcBorders/>
            <w:vAlign w:val="center"/>
          </w:tcPr>
          <w:p>
            <w:pPr>
              <w:jc w:val="right"/>
            </w:pPr>
            <w:r>
              <w:rPr>
                <w:rFonts w:ascii="宋体" w:eastAsia="宋体" w:hAnsi="宋体" w:cs="宋体"/>
                <w:b w:val="0"/>
                <w:i w:val="0"/>
                <w:color w:val="000000"/>
                <w:sz w:val="14"/>
              </w:rPr>
              <w:t xml:space="preserve">41.83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部门：中共辽宁省沈阳市浑南区委、沈阳市浑南区人民政府信访局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619.23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509.24</w:t>
            </w:r>
          </w:p>
        </w:tc>
        <w:tc>
          <w:tcPr>
            <w:tcW w:w="1100" w:type="dxa"/>
            <w:tcBorders/>
            <w:vAlign w:val="center"/>
          </w:tcPr>
          <w:p>
            <w:pPr>
              <w:jc w:val="right"/>
            </w:pPr>
            <w:r>
              <w:rPr>
                <w:rFonts w:ascii="宋体" w:eastAsia="宋体" w:hAnsi="宋体" w:cs="宋体"/>
                <w:b w:val="0"/>
                <w:i w:val="0"/>
                <w:color w:val="000000"/>
                <w:sz w:val="14"/>
              </w:rPr>
              <w:t xml:space="preserve">509.24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50.96</w:t>
            </w:r>
          </w:p>
        </w:tc>
        <w:tc>
          <w:tcPr>
            <w:tcW w:w="1100" w:type="dxa"/>
            <w:tcBorders/>
            <w:vAlign w:val="center"/>
          </w:tcPr>
          <w:p>
            <w:pPr>
              <w:jc w:val="right"/>
            </w:pPr>
            <w:r>
              <w:rPr>
                <w:rFonts w:ascii="宋体" w:eastAsia="宋体" w:hAnsi="宋体" w:cs="宋体"/>
                <w:b w:val="0"/>
                <w:i w:val="0"/>
                <w:color w:val="000000"/>
                <w:sz w:val="14"/>
              </w:rPr>
              <w:t xml:space="preserve">50.96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17.20</w:t>
            </w:r>
          </w:p>
        </w:tc>
        <w:tc>
          <w:tcPr>
            <w:tcW w:w="1100" w:type="dxa"/>
            <w:tcBorders/>
            <w:vAlign w:val="center"/>
          </w:tcPr>
          <w:p>
            <w:pPr>
              <w:jc w:val="right"/>
            </w:pPr>
            <w:r>
              <w:rPr>
                <w:rFonts w:ascii="宋体" w:eastAsia="宋体" w:hAnsi="宋体" w:cs="宋体"/>
                <w:b w:val="0"/>
                <w:i w:val="0"/>
                <w:color w:val="000000"/>
                <w:sz w:val="14"/>
              </w:rPr>
              <w:t xml:space="preserve">17.20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41.83</w:t>
            </w:r>
          </w:p>
        </w:tc>
        <w:tc>
          <w:tcPr>
            <w:tcW w:w="1100" w:type="dxa"/>
            <w:tcBorders/>
            <w:vAlign w:val="center"/>
          </w:tcPr>
          <w:p>
            <w:pPr>
              <w:jc w:val="right"/>
            </w:pPr>
            <w:r>
              <w:rPr>
                <w:rFonts w:ascii="宋体" w:eastAsia="宋体" w:hAnsi="宋体" w:cs="宋体"/>
                <w:b w:val="0"/>
                <w:i w:val="0"/>
                <w:color w:val="000000"/>
                <w:sz w:val="14"/>
              </w:rPr>
              <w:t xml:space="preserve">41.83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619.23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619.23</w:t>
            </w:r>
          </w:p>
        </w:tc>
        <w:tc>
          <w:tcPr>
            <w:tcW w:w="1100" w:type="dxa"/>
            <w:tcBorders/>
            <w:vAlign w:val="center"/>
          </w:tcPr>
          <w:p>
            <w:pPr>
              <w:jc w:val="right"/>
            </w:pPr>
            <w:r>
              <w:rPr>
                <w:rFonts w:ascii="宋体" w:eastAsia="宋体" w:hAnsi="宋体" w:cs="宋体"/>
                <w:b w:val="0"/>
                <w:i w:val="0"/>
                <w:color w:val="000000"/>
                <w:sz w:val="14"/>
              </w:rPr>
              <w:t xml:space="preserve">619.23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619.23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619.23</w:t>
            </w:r>
          </w:p>
        </w:tc>
        <w:tc>
          <w:tcPr>
            <w:tcW w:w="1100" w:type="dxa"/>
            <w:tcBorders/>
            <w:vAlign w:val="center"/>
          </w:tcPr>
          <w:p>
            <w:pPr>
              <w:jc w:val="right"/>
            </w:pPr>
            <w:r>
              <w:rPr>
                <w:rFonts w:ascii="宋体" w:eastAsia="宋体" w:hAnsi="宋体" w:cs="宋体"/>
                <w:b w:val="0"/>
                <w:i w:val="0"/>
                <w:color w:val="000000"/>
                <w:sz w:val="14"/>
              </w:rPr>
              <w:t xml:space="preserve">619.23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部门：中共辽宁省沈阳市浑南区委、沈阳市浑南区人民政府信访局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619.23</w:t>
            </w:r>
          </w:p>
        </w:tc>
        <w:tc>
          <w:tcPr>
            <w:tcW w:w="1780" w:type="dxa"/>
            <w:tcBorders/>
            <w:vAlign w:val="center"/>
          </w:tcPr>
          <w:p>
            <w:pPr>
              <w:jc w:val="right"/>
            </w:pPr>
            <w:r>
              <w:rPr>
                <w:rFonts w:ascii="宋体" w:eastAsia="宋体" w:hAnsi="宋体" w:cs="宋体"/>
                <w:b/>
                <w:i w:val="0"/>
                <w:color w:val="000000"/>
                <w:sz w:val="18"/>
              </w:rPr>
              <w:t xml:space="preserve">437.31</w:t>
            </w:r>
          </w:p>
        </w:tc>
        <w:tc>
          <w:tcPr>
            <w:tcW w:w="1772" w:type="dxa"/>
            <w:tcBorders/>
            <w:vAlign w:val="center"/>
          </w:tcPr>
          <w:p>
            <w:pPr>
              <w:jc w:val="right"/>
            </w:pPr>
            <w:r>
              <w:rPr>
                <w:rFonts w:ascii="宋体" w:eastAsia="宋体" w:hAnsi="宋体" w:cs="宋体"/>
                <w:b/>
                <w:i w:val="0"/>
                <w:color w:val="000000"/>
                <w:sz w:val="18"/>
              </w:rPr>
              <w:t xml:space="preserve">181.92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509.25</w:t>
            </w:r>
          </w:p>
        </w:tc>
        <w:tc>
          <w:tcPr>
            <w:tcW w:w="1780" w:type="dxa"/>
            <w:tcBorders/>
            <w:vAlign w:val="center"/>
          </w:tcPr>
          <w:p>
            <w:pPr>
              <w:jc w:val="right"/>
            </w:pPr>
            <w:r>
              <w:rPr>
                <w:rFonts w:ascii="宋体" w:eastAsia="宋体" w:hAnsi="宋体" w:cs="宋体"/>
                <w:b w:val="0"/>
                <w:i w:val="0"/>
                <w:color w:val="000000"/>
                <w:sz w:val="18"/>
              </w:rPr>
              <w:t xml:space="preserve">327.33</w:t>
            </w:r>
          </w:p>
        </w:tc>
        <w:tc>
          <w:tcPr>
            <w:tcW w:w="1772" w:type="dxa"/>
            <w:tcBorders/>
            <w:vAlign w:val="center"/>
          </w:tcPr>
          <w:p>
            <w:pPr>
              <w:jc w:val="right"/>
            </w:pPr>
            <w:r>
              <w:rPr>
                <w:rFonts w:ascii="宋体" w:eastAsia="宋体" w:hAnsi="宋体" w:cs="宋体"/>
                <w:b w:val="0"/>
                <w:i w:val="0"/>
                <w:color w:val="000000"/>
                <w:sz w:val="18"/>
              </w:rPr>
              <w:t xml:space="preserve">181.92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337.52</w:t>
            </w:r>
          </w:p>
        </w:tc>
        <w:tc>
          <w:tcPr>
            <w:tcW w:w="1780" w:type="dxa"/>
            <w:tcBorders/>
            <w:vAlign w:val="center"/>
          </w:tcPr>
          <w:p>
            <w:pPr>
              <w:jc w:val="right"/>
            </w:pPr>
            <w:r>
              <w:rPr>
                <w:rFonts w:ascii="宋体" w:eastAsia="宋体" w:hAnsi="宋体" w:cs="宋体"/>
                <w:b w:val="0"/>
                <w:i w:val="0"/>
                <w:color w:val="000000"/>
                <w:sz w:val="18"/>
              </w:rPr>
              <w:t xml:space="preserve">327.33</w:t>
            </w:r>
          </w:p>
        </w:tc>
        <w:tc>
          <w:tcPr>
            <w:tcW w:w="1772" w:type="dxa"/>
            <w:tcBorders/>
            <w:vAlign w:val="center"/>
          </w:tcPr>
          <w:p>
            <w:pPr>
              <w:jc w:val="right"/>
            </w:pPr>
            <w:r>
              <w:rPr>
                <w:rFonts w:ascii="宋体" w:eastAsia="宋体" w:hAnsi="宋体" w:cs="宋体"/>
                <w:b w:val="0"/>
                <w:i w:val="0"/>
                <w:color w:val="000000"/>
                <w:sz w:val="18"/>
              </w:rPr>
              <w:t xml:space="preserve">10.19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127.72</w:t>
            </w:r>
          </w:p>
        </w:tc>
        <w:tc>
          <w:tcPr>
            <w:tcW w:w="1780" w:type="dxa"/>
            <w:tcBorders/>
            <w:vAlign w:val="center"/>
          </w:tcPr>
          <w:p>
            <w:pPr>
              <w:jc w:val="right"/>
            </w:pPr>
            <w:r>
              <w:rPr>
                <w:rFonts w:ascii="宋体" w:eastAsia="宋体" w:hAnsi="宋体" w:cs="宋体"/>
                <w:b w:val="0"/>
                <w:i w:val="0"/>
                <w:color w:val="000000"/>
                <w:sz w:val="18"/>
              </w:rPr>
              <w:t xml:space="preserve">127.72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10.19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199.61</w:t>
            </w:r>
          </w:p>
        </w:tc>
        <w:tc>
          <w:tcPr>
            <w:tcW w:w="1780" w:type="dxa"/>
            <w:tcBorders/>
            <w:vAlign w:val="center"/>
          </w:tcPr>
          <w:p>
            <w:pPr>
              <w:jc w:val="right"/>
            </w:pPr>
            <w:r>
              <w:rPr>
                <w:rFonts w:ascii="宋体" w:eastAsia="宋体" w:hAnsi="宋体" w:cs="宋体"/>
                <w:b w:val="0"/>
                <w:i w:val="0"/>
                <w:color w:val="000000"/>
                <w:sz w:val="18"/>
              </w:rPr>
              <w:t xml:space="preserve">199.61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171.73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171.73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169.53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169.53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2014099</w:t>
            </w:r>
          </w:p>
        </w:tc>
        <w:tc>
          <w:tcPr>
            <w:tcW w:w="4300" w:type="dxa"/>
            <w:tcBorders/>
            <w:vAlign w:val="center"/>
          </w:tcPr>
          <w:p>
            <w:pPr>
              <w:jc w:val="left"/>
            </w:pPr>
            <w:r>
              <w:rPr>
                <w:rFonts w:ascii="宋体" w:eastAsia="宋体" w:hAnsi="宋体" w:cs="宋体"/>
                <w:b w:val="0"/>
                <w:i w:val="0"/>
                <w:color w:val="000000"/>
                <w:sz w:val="18"/>
              </w:rPr>
              <w:t xml:space="preserve">其他信访事务支出</w:t>
            </w:r>
          </w:p>
        </w:tc>
        <w:tc>
          <w:tcPr>
            <w:tcW w:w="1780" w:type="dxa"/>
            <w:tcBorders/>
            <w:vAlign w:val="center"/>
          </w:tcPr>
          <w:p>
            <w:pPr>
              <w:jc w:val="right"/>
            </w:pPr>
            <w:r>
              <w:rPr>
                <w:rFonts w:ascii="宋体" w:eastAsia="宋体" w:hAnsi="宋体" w:cs="宋体"/>
                <w:b w:val="0"/>
                <w:i w:val="0"/>
                <w:color w:val="000000"/>
                <w:sz w:val="18"/>
              </w:rPr>
              <w:t xml:space="preserve">2.20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50.96</w:t>
            </w:r>
          </w:p>
        </w:tc>
        <w:tc>
          <w:tcPr>
            <w:tcW w:w="1780" w:type="dxa"/>
            <w:tcBorders/>
            <w:vAlign w:val="center"/>
          </w:tcPr>
          <w:p>
            <w:pPr>
              <w:jc w:val="right"/>
            </w:pPr>
            <w:r>
              <w:rPr>
                <w:rFonts w:ascii="宋体" w:eastAsia="宋体" w:hAnsi="宋体" w:cs="宋体"/>
                <w:b w:val="0"/>
                <w:i w:val="0"/>
                <w:color w:val="000000"/>
                <w:sz w:val="18"/>
              </w:rPr>
              <w:t xml:space="preserve">50.96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50.96</w:t>
            </w:r>
          </w:p>
        </w:tc>
        <w:tc>
          <w:tcPr>
            <w:tcW w:w="1780" w:type="dxa"/>
            <w:tcBorders/>
            <w:vAlign w:val="center"/>
          </w:tcPr>
          <w:p>
            <w:pPr>
              <w:jc w:val="right"/>
            </w:pPr>
            <w:r>
              <w:rPr>
                <w:rFonts w:ascii="宋体" w:eastAsia="宋体" w:hAnsi="宋体" w:cs="宋体"/>
                <w:b w:val="0"/>
                <w:i w:val="0"/>
                <w:color w:val="000000"/>
                <w:sz w:val="18"/>
              </w:rPr>
              <w:t xml:space="preserve">50.96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1.09</w:t>
            </w:r>
          </w:p>
        </w:tc>
        <w:tc>
          <w:tcPr>
            <w:tcW w:w="1780" w:type="dxa"/>
            <w:tcBorders/>
            <w:vAlign w:val="center"/>
          </w:tcPr>
          <w:p>
            <w:pPr>
              <w:jc w:val="right"/>
            </w:pPr>
            <w:r>
              <w:rPr>
                <w:rFonts w:ascii="宋体" w:eastAsia="宋体" w:hAnsi="宋体" w:cs="宋体"/>
                <w:b w:val="0"/>
                <w:i w:val="0"/>
                <w:color w:val="000000"/>
                <w:sz w:val="18"/>
              </w:rPr>
              <w:t xml:space="preserve">1.09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40.22</w:t>
            </w:r>
          </w:p>
        </w:tc>
        <w:tc>
          <w:tcPr>
            <w:tcW w:w="1780" w:type="dxa"/>
            <w:tcBorders/>
            <w:vAlign w:val="center"/>
          </w:tcPr>
          <w:p>
            <w:pPr>
              <w:jc w:val="right"/>
            </w:pPr>
            <w:r>
              <w:rPr>
                <w:rFonts w:ascii="宋体" w:eastAsia="宋体" w:hAnsi="宋体" w:cs="宋体"/>
                <w:b w:val="0"/>
                <w:i w:val="0"/>
                <w:color w:val="000000"/>
                <w:sz w:val="18"/>
              </w:rPr>
              <w:t xml:space="preserve">40.22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9.38</w:t>
            </w:r>
          </w:p>
        </w:tc>
        <w:tc>
          <w:tcPr>
            <w:tcW w:w="1780" w:type="dxa"/>
            <w:tcBorders/>
            <w:vAlign w:val="center"/>
          </w:tcPr>
          <w:p>
            <w:pPr>
              <w:jc w:val="right"/>
            </w:pPr>
            <w:r>
              <w:rPr>
                <w:rFonts w:ascii="宋体" w:eastAsia="宋体" w:hAnsi="宋体" w:cs="宋体"/>
                <w:b w:val="0"/>
                <w:i w:val="0"/>
                <w:color w:val="000000"/>
                <w:sz w:val="18"/>
              </w:rPr>
              <w:t xml:space="preserve">9.38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17.20</w:t>
            </w:r>
          </w:p>
        </w:tc>
        <w:tc>
          <w:tcPr>
            <w:tcW w:w="1780" w:type="dxa"/>
            <w:tcBorders/>
            <w:vAlign w:val="center"/>
          </w:tcPr>
          <w:p>
            <w:pPr>
              <w:jc w:val="right"/>
            </w:pPr>
            <w:r>
              <w:rPr>
                <w:rFonts w:ascii="宋体" w:eastAsia="宋体" w:hAnsi="宋体" w:cs="宋体"/>
                <w:b w:val="0"/>
                <w:i w:val="0"/>
                <w:color w:val="000000"/>
                <w:sz w:val="18"/>
              </w:rPr>
              <w:t xml:space="preserve">17.20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17.20</w:t>
            </w:r>
          </w:p>
        </w:tc>
        <w:tc>
          <w:tcPr>
            <w:tcW w:w="1780" w:type="dxa"/>
            <w:tcBorders/>
            <w:vAlign w:val="center"/>
          </w:tcPr>
          <w:p>
            <w:pPr>
              <w:jc w:val="right"/>
            </w:pPr>
            <w:r>
              <w:rPr>
                <w:rFonts w:ascii="宋体" w:eastAsia="宋体" w:hAnsi="宋体" w:cs="宋体"/>
                <w:b w:val="0"/>
                <w:i w:val="0"/>
                <w:color w:val="000000"/>
                <w:sz w:val="18"/>
              </w:rPr>
              <w:t xml:space="preserve">17.20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5.81</w:t>
            </w:r>
          </w:p>
        </w:tc>
        <w:tc>
          <w:tcPr>
            <w:tcW w:w="1780" w:type="dxa"/>
            <w:tcBorders/>
            <w:vAlign w:val="center"/>
          </w:tcPr>
          <w:p>
            <w:pPr>
              <w:jc w:val="right"/>
            </w:pPr>
            <w:r>
              <w:rPr>
                <w:rFonts w:ascii="宋体" w:eastAsia="宋体" w:hAnsi="宋体" w:cs="宋体"/>
                <w:b w:val="0"/>
                <w:i w:val="0"/>
                <w:color w:val="000000"/>
                <w:sz w:val="18"/>
              </w:rPr>
              <w:t xml:space="preserve">5.81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11.39</w:t>
            </w:r>
          </w:p>
        </w:tc>
        <w:tc>
          <w:tcPr>
            <w:tcW w:w="1780" w:type="dxa"/>
            <w:tcBorders/>
            <w:vAlign w:val="center"/>
          </w:tcPr>
          <w:p>
            <w:pPr>
              <w:jc w:val="right"/>
            </w:pPr>
            <w:r>
              <w:rPr>
                <w:rFonts w:ascii="宋体" w:eastAsia="宋体" w:hAnsi="宋体" w:cs="宋体"/>
                <w:b w:val="0"/>
                <w:i w:val="0"/>
                <w:color w:val="000000"/>
                <w:sz w:val="18"/>
              </w:rPr>
              <w:t xml:space="preserve">11.39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41.83</w:t>
            </w:r>
          </w:p>
        </w:tc>
        <w:tc>
          <w:tcPr>
            <w:tcW w:w="1780" w:type="dxa"/>
            <w:tcBorders/>
            <w:vAlign w:val="center"/>
          </w:tcPr>
          <w:p>
            <w:pPr>
              <w:jc w:val="right"/>
            </w:pPr>
            <w:r>
              <w:rPr>
                <w:rFonts w:ascii="宋体" w:eastAsia="宋体" w:hAnsi="宋体" w:cs="宋体"/>
                <w:b w:val="0"/>
                <w:i w:val="0"/>
                <w:color w:val="000000"/>
                <w:sz w:val="18"/>
              </w:rPr>
              <w:t xml:space="preserve">41.83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41.83</w:t>
            </w:r>
          </w:p>
        </w:tc>
        <w:tc>
          <w:tcPr>
            <w:tcW w:w="1780" w:type="dxa"/>
            <w:tcBorders/>
            <w:vAlign w:val="center"/>
          </w:tcPr>
          <w:p>
            <w:pPr>
              <w:jc w:val="right"/>
            </w:pPr>
            <w:r>
              <w:rPr>
                <w:rFonts w:ascii="宋体" w:eastAsia="宋体" w:hAnsi="宋体" w:cs="宋体"/>
                <w:b w:val="0"/>
                <w:i w:val="0"/>
                <w:color w:val="000000"/>
                <w:sz w:val="18"/>
              </w:rPr>
              <w:t xml:space="preserve">41.83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41.83</w:t>
            </w:r>
          </w:p>
        </w:tc>
        <w:tc>
          <w:tcPr>
            <w:tcW w:w="1780" w:type="dxa"/>
            <w:tcBorders/>
            <w:vAlign w:val="center"/>
          </w:tcPr>
          <w:p>
            <w:pPr>
              <w:jc w:val="right"/>
            </w:pPr>
            <w:r>
              <w:rPr>
                <w:rFonts w:ascii="宋体" w:eastAsia="宋体" w:hAnsi="宋体" w:cs="宋体"/>
                <w:b w:val="0"/>
                <w:i w:val="0"/>
                <w:color w:val="000000"/>
                <w:sz w:val="18"/>
              </w:rPr>
              <w:t xml:space="preserve">41.83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部门：中共辽宁省沈阳市浑南区委、沈阳市浑南区人民政府信访局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404.66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31.28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109.15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4.45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31.98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0.20</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45.56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8.91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98.95</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40.22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9.38</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15.31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17.20</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1.49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0.59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41.83</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1.37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1.37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2.54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8.19</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406.03</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31.28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部门：中共辽宁省沈阳市浑南区委、沈阳市浑南区人民政府信访局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部门：中共辽宁省沈阳市浑南区委、沈阳市浑南区人民政府信访局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部门：中共辽宁省沈阳市浑南区委、沈阳市浑南区人民政府信访局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根据财政局预算编制要求，在部门设置残疾人保障金项目。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为做好2024年残疾人就业保障金缴纳工作，依据《辽宁省残疾人就业保障金征收使用管理实施办法》精神，已依规缴纳信访中心2024年残疾人就业保障金22,007.66元。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013002沈阳市浑南区信访事务服务中心-210112000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294.67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294.67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186.20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做好信访工作，确保浑南建设有一个稳定的社会环境，完成省市区交办的各项工作任务等。</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贯彻落实国家、省、市有关信访工作的法律、法规和工作部署，做好全区信访工作。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人员有增减、工作按照实际情况有调整，为完成工作节约财政资金，部分资金未按照预算水平执行</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经费保障:经费保障:严格合理编制预算，并在执行中，考虑多方面原因，增加执行效率，做到经费保障符合预算部门及财政要求</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群众网上投诉形势平稳向好</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形势平稳</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窗口服务效率满意度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99.92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初步定于2024年，完成整理区信访局2023年及以前年度档案工作。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关于落实中央“过紧日子”要求，严格执行财政支出管理，坚持勤俭办一切事业，严控一般性支出。厉行节约，并结合实际工作情况，取消信访档案工作经费项目安排，改电子扫描归档为人工收档，节约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年度档案扫描数量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年度档案扫描数量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其他:按照区委区政府关于落实中央“过紧日子”要求，严格执行财政支出管理，坚持勤俭办一切事业，严控一般性支出。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其他:厉行节约，并结合实际工作情况，取消信访档案工作经费项目安排，改电子扫描归档为人工收档，节约支出。</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顾问费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信访稳定压力巨大，现有人员已无法满足信访维稳工作的需要。顾问弥补信访接待力量，进一步提高群众接访工作效率，提升来访群众服务质量。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已完成绩效目标，执行效果良好。根据工作需要，该名顾问已完成工作，不再发生业务。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34.33125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经过全面深入了解本单位工作需求情况，根据实际工作需要配备政府雇员。科学合理设岗，以岗定人。对政府雇员进行科学管理，弥补单位用人力量不足，较好的完成信访局相关工作。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对政府雇员进行科学管理，弥补单位用人力量不足，较好的完成信访局相关工作。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8.44410711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根据财政局预算编制要求，在部门设置缴纳残疾人保障金项目。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已按照管理部门核定标准缴纳残疾人就业保障金。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排查预警、稳控劝返工作服务费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实现进京访减量退位总体目标，有效推动信访维稳工作，扎实开展属地矛盾排查、预警处置、车站劝返等工作，减轻在京劝返查找压力，经区领导同意，委托区属国有企业为区信访局提供排查预警、防范化解等服务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为有效推动信访维稳工作，弥补信访维稳力量，委托区属国有企业招聘保安人员，辅助信访维稳工作。保安人员在信访局从事维稳辅助工作，工作成效良好。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经过全面深入了解本单位工作需求情况，根据实际工作需要配备派遣制人员。科学合理设岗，以岗定人。对派遣制人员进行科学管理，弥补单位用人力量不足，较好的完成信访局相关工作。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科学合理设岗，以岗定人。对派遣制人员进行科学管理，弥补单位用人力量不足，较好的完成信访局相关工作。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17.67451136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社会稳定维护专项业务经费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27.79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按照市区领导要求对各大节点敏感时期在火车站组织各街道及相关单位对欲进京及到驻地会场的重点信访人目测、比对、劝返工作，确保完成重要节点期间的维稳工作任务和目标。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通过安排该项目，实现信访稳控工作；各大节点敏感时期在火车站组织各街道及相关单位对欲进京及驻地会场的重点信访人目测、比对、劝返工作，确保完成重要节点期间的维稳工作任务和目标。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发布安全预警次数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发布安全预警次数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信息系统运行稳定率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信息系统运行稳定率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物业、保安管理服务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为有效推动信访维稳工作，弥补信访维稳力量不足等问题，经区政府领导同意，信访局委托区属国有企业沈阳鑫鸿建实业有限公司派驻信访局保安人员2名，辅助信访维稳工作，沿用至今，工作效果良好。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为有效推动信访维稳工作，弥补信访维稳力量，委托沈阳鑫鸿建实业有限公司（区属国有企业）招聘保安人员，辅助信访维稳工作。保安人员在信访局从事维稳辅助工作，工作成效良好。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35.9979638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信访大厅改造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根据省长要求、区长工作指示，为更好地服务上访群众，拟对信访大厅进行改造。</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按照区委区政府关于落实中央“过紧日子”要求，严格执行财政支出管理，坚持勤俭办一切事业，严控一般性支出。厉行节约，并结合实际工作情况，节约支出。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经费保障:重新规划设计，按照实际工作需要，为群众提供便利的服务，并绩效严控支出，节约成本。</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经费保障:重新规划设计，按照实际工作需要，为群众提供便利的服务，并绩效严控支出，节约成本。</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信访大厅运转维护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信访大厅日常运转维护。</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按照区委区政府关于落实中央“过紧日子”要求，严格执行财政支出管理，坚持勤俭办一切事业，严控一般性支出。厉行节约，并结合实际工作情况，节约支出。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35.91428571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按照市、区联席会议，领导接访实际开展情况为准。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区联席会议，领导接访实际开展情况，安排联席会议相关保障。按照区委区政府关于落实中央“过紧日子”要求，严格执行财政支出管理，坚持勤俭办一切事业，严控一般性支出。厉行节约，并结合实际工作情况，节约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经费保障:按照区委区政府关于落实中央“过紧日子”要求，严格执行财政支出管理，坚持勤俭办一切事业，严控一般性支出。厉行节约，并结合实际工作情况，节约支出。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经费保障:重新规划设计，按照实际工作需要，为群众提供便利的服务，并继续严控支出，节约成本。</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政务公开审批、信访经费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安排该项目，做好市驻京指挥部布置的各项日常工作，协调、沟通、传达市驻京指挥部对区驻京控访组的各项工作，督促圆满完成日常驻京维稳等各项工作任务；协调、配合各责任单位认真开展进京上访人的接谈、劝返、遣返工作，确保完成北京重要节点期间的维稳工作任务和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市驻京指挥部布置的各项日常工作，协调、沟通、传达市驻京指挥部对区驻京控访组的各项工作，督促圆满完成日常驻京维稳等各项工作任务；协调、配合各责任单位认真开展进京上访人的接谈、劝返、遣返工作，确保完成北京重要节点期间的维稳工作任务和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受理办理网上信访事项数量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驻京集中办公人员酒店租赁</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按照市联席办通知要求，为进一步形成全市驻京维稳工作人员合力，积极发挥最后一道防线作用，统筹全市驻京维稳工作人员统一居住、集中办公，定于7月1日将全市驻京维稳人员统一居住、集中办公。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沈阳市联席办已统筹选择北京旭日岚庭酒店管理有限公司为集中办公地点，租期自2024年7月1日至2026年6月30日。区驻京组工作人员入驻，集中办公执行良好。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专家评审费用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中共沈阳市浑南区委、沈阳市浑南区人民政府信访局-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沈阳市浑南区信访局本级-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服务基层，同意支出信访案件听证（评议）经费，便于各单位集中力量化解信访矛盾，通过听证（评议）程序，对信访案件进行定性，对信访人进行教育转化，推进我区信访矛盾及时化解。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支出信访案件听证（评议）经费，便于各单位集中力量化解信访矛盾，通过听证（评议）程序，对信访案件进行定性，对信访人进行教育转化，推进我区信访矛盾及时化解。</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013001沈阳市浑南区信访局本级-210112000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232.42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232.42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41.88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41.88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做好信访工作，确保浑南建设有一个稳定的社会环境。完成省市区交办的各项工作任务。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较好地完成全年信访工作，工作成效稳步提升。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人员有增减、工作按照实际情况有调整，为完成工作节约财政资金，部分资金未按照预算水平执行</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其他:严格合理编制预算，并在执行中，考虑多方面原因，增加执行效率，做到经费保障符合预算部门及财政要求</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532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由于本年工作需要，调整人员经费，追加部分项目经费，人员有增减、工作按照实际情况有调整，为完成工作节约财政资金，部分资金未按照预算水平执行</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经费保障:严格合理编制预算，并在执行中，考虑多方面原因，增加执行效率，做到经费保障符合预算部门及财政要求</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群众网上投诉形势平稳向好</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形势平稳</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窗口服务效率满意度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95.98</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