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p>
    <w:p>
      <w:pPr>
        <w:pStyle w:val="6"/>
        <w:rPr>
          <w:rFonts w:hint="default" w:ascii="黑体" w:eastAsia="黑体"/>
          <w:sz w:val="32"/>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中国共产党沈阳市浑南区直属机关工作委员会2022决算</w:t>
      </w:r>
      <w:r>
        <w:rPr>
          <w:rFonts w:hint="eastAsia" w:ascii="宋体" w:hAnsi="宋体"/>
          <w:b/>
          <w:sz w:val="52"/>
          <w:szCs w:val="52"/>
          <w:lang w:eastAsia="zh-CN"/>
        </w:rPr>
        <w:t>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中共浑南区直属机关工作委员会概况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hint="default" w:ascii="仿宋_GB2312" w:eastAsia="仿宋_GB2312"/>
          <w:sz w:val="32"/>
          <w:szCs w:val="32"/>
        </w:rPr>
      </w:pPr>
      <w:r>
        <w:rPr>
          <w:rFonts w:ascii="仿宋_GB2312" w:eastAsia="仿宋_GB2312"/>
          <w:sz w:val="32"/>
          <w:szCs w:val="32"/>
        </w:rPr>
        <w:t>（一）统一组织、规划、部署区直机关党的工作，提出加强和改进机关党的建设的意见和建议，研究拟定工作规划，并抓好组织实施。</w:t>
      </w:r>
    </w:p>
    <w:p>
      <w:pPr>
        <w:ind w:firstLine="640" w:firstLineChars="200"/>
        <w:rPr>
          <w:rFonts w:hint="default" w:ascii="仿宋_GB2312" w:eastAsia="仿宋_GB2312"/>
          <w:sz w:val="32"/>
          <w:szCs w:val="32"/>
        </w:rPr>
      </w:pPr>
      <w:r>
        <w:rPr>
          <w:rFonts w:ascii="仿宋_GB2312" w:eastAsia="仿宋_GB2312"/>
          <w:sz w:val="32"/>
          <w:szCs w:val="32"/>
        </w:rPr>
        <w:t>（二）指导区直机关党的政治建设、思想建设、组织建设、作风建设、纪律建设，把制度建设贯穿其中，深入推进反腐败斗争。</w:t>
      </w:r>
    </w:p>
    <w:p>
      <w:pPr>
        <w:ind w:firstLine="640" w:firstLineChars="200"/>
        <w:rPr>
          <w:rFonts w:hint="default" w:ascii="仿宋_GB2312" w:eastAsia="仿宋_GB2312"/>
          <w:sz w:val="32"/>
          <w:szCs w:val="32"/>
        </w:rPr>
      </w:pPr>
      <w:r>
        <w:rPr>
          <w:rFonts w:ascii="仿宋_GB2312" w:eastAsia="仿宋_GB2312"/>
          <w:sz w:val="32"/>
          <w:szCs w:val="32"/>
        </w:rPr>
        <w:t>（三）指导区直机关各级党组织和广大党员学习马克思列宁主义、毛泽东思想、邓小平理论、“三个代表”重要思想、科学发展观、习近平新时代中国特色社会主义思想。</w:t>
      </w:r>
    </w:p>
    <w:p>
      <w:pPr>
        <w:ind w:firstLine="640" w:firstLineChars="200"/>
        <w:rPr>
          <w:rFonts w:hint="default" w:ascii="仿宋_GB2312" w:eastAsia="仿宋_GB2312"/>
          <w:sz w:val="32"/>
          <w:szCs w:val="32"/>
        </w:rPr>
      </w:pPr>
      <w:r>
        <w:rPr>
          <w:rFonts w:ascii="仿宋_GB2312" w:eastAsia="仿宋_GB2312"/>
          <w:sz w:val="32"/>
          <w:szCs w:val="32"/>
        </w:rPr>
        <w:t>（四）对区直机关各级党组织、党员领导干部落实党建责任制、遵守政治纪律和政治规矩情况进行监督检查，并向区委报告。</w:t>
      </w:r>
    </w:p>
    <w:p>
      <w:pPr>
        <w:ind w:firstLine="640" w:firstLineChars="200"/>
        <w:rPr>
          <w:rFonts w:hint="default" w:ascii="仿宋_GB2312" w:eastAsia="仿宋_GB2312"/>
          <w:sz w:val="32"/>
          <w:szCs w:val="32"/>
        </w:rPr>
      </w:pPr>
      <w:r>
        <w:rPr>
          <w:rFonts w:ascii="仿宋_GB2312" w:eastAsia="仿宋_GB2312"/>
          <w:sz w:val="32"/>
          <w:szCs w:val="32"/>
        </w:rPr>
        <w:t>（五）指导区直机关各级党组织实施对党员特别是党员领导干部的监督和管理，及时向区委反映各部门领导班子、领导干部的情况。</w:t>
      </w:r>
    </w:p>
    <w:p>
      <w:pPr>
        <w:ind w:firstLine="640" w:firstLineChars="200"/>
        <w:rPr>
          <w:rFonts w:hint="default" w:ascii="仿宋_GB2312" w:eastAsia="仿宋_GB2312"/>
          <w:sz w:val="32"/>
          <w:szCs w:val="32"/>
        </w:rPr>
      </w:pPr>
      <w:r>
        <w:rPr>
          <w:rFonts w:ascii="仿宋_GB2312" w:eastAsia="仿宋_GB2312"/>
          <w:sz w:val="32"/>
          <w:szCs w:val="32"/>
        </w:rPr>
        <w:t>（六）配合区委有关部门抓好区直机关各部门领导班子思想政治建设，参与对党员领导干部民主生活会和区委各部门、区直各党组（党委）理论学习中心组学习的督促检查和指导，了解掌握情况，按规定报送情况报告。</w:t>
      </w:r>
    </w:p>
    <w:p>
      <w:pPr>
        <w:ind w:firstLine="640" w:firstLineChars="200"/>
        <w:rPr>
          <w:rFonts w:hint="default" w:ascii="仿宋_GB2312" w:eastAsia="仿宋_GB2312"/>
          <w:sz w:val="32"/>
          <w:szCs w:val="32"/>
        </w:rPr>
      </w:pPr>
      <w:r>
        <w:rPr>
          <w:rFonts w:ascii="仿宋_GB2312" w:eastAsia="仿宋_GB2312"/>
          <w:sz w:val="32"/>
          <w:szCs w:val="32"/>
        </w:rPr>
        <w:t>（七）督促指导区直机关各部门机关党委（总支、支部）按期换届，审批关于召开党员大会或党员代表大会的请示；审批区直机关各部门机关（总支、支部）和机关纪委班子的组成及书记、副书记的任免。</w:t>
      </w:r>
    </w:p>
    <w:p>
      <w:pPr>
        <w:ind w:firstLine="640" w:firstLineChars="200"/>
        <w:rPr>
          <w:rFonts w:hint="default" w:ascii="仿宋_GB2312" w:eastAsia="仿宋_GB2312"/>
          <w:sz w:val="32"/>
          <w:szCs w:val="32"/>
        </w:rPr>
      </w:pPr>
      <w:r>
        <w:rPr>
          <w:rFonts w:ascii="仿宋_GB2312" w:eastAsia="仿宋_GB2312"/>
          <w:sz w:val="32"/>
          <w:szCs w:val="32"/>
        </w:rPr>
        <w:t>（八）指导区直机关各级党组织加强基层组织建设，做好党员发展、教育和管理等工作。</w:t>
      </w:r>
    </w:p>
    <w:p>
      <w:pPr>
        <w:ind w:firstLine="640" w:firstLineChars="200"/>
        <w:rPr>
          <w:rFonts w:hint="default" w:ascii="仿宋_GB2312" w:eastAsia="仿宋_GB2312"/>
          <w:sz w:val="32"/>
          <w:szCs w:val="32"/>
        </w:rPr>
      </w:pPr>
      <w:r>
        <w:rPr>
          <w:rFonts w:ascii="仿宋_GB2312" w:eastAsia="仿宋_GB2312"/>
          <w:sz w:val="32"/>
          <w:szCs w:val="32"/>
        </w:rPr>
        <w:t>（九）领导区直机关各部门机关党的纪律检查工作。</w:t>
      </w:r>
    </w:p>
    <w:p>
      <w:pPr>
        <w:ind w:firstLine="640" w:firstLineChars="200"/>
        <w:rPr>
          <w:rFonts w:hint="default" w:ascii="仿宋_GB2312" w:eastAsia="仿宋_GB2312"/>
          <w:sz w:val="32"/>
          <w:szCs w:val="32"/>
        </w:rPr>
      </w:pPr>
      <w:r>
        <w:rPr>
          <w:rFonts w:ascii="仿宋_GB2312" w:eastAsia="仿宋_GB2312"/>
          <w:sz w:val="32"/>
          <w:szCs w:val="32"/>
        </w:rPr>
        <w:t>（十）了解掌握区直机关工作人员的思想状况，指导区直机关各级党组织加强思想政治工作和精神文明建设。</w:t>
      </w:r>
    </w:p>
    <w:p>
      <w:pPr>
        <w:ind w:firstLine="640" w:firstLineChars="200"/>
        <w:rPr>
          <w:rFonts w:hint="default" w:ascii="仿宋_GB2312" w:eastAsia="仿宋_GB2312"/>
          <w:sz w:val="32"/>
          <w:szCs w:val="32"/>
        </w:rPr>
      </w:pPr>
      <w:r>
        <w:rPr>
          <w:rFonts w:ascii="仿宋_GB2312" w:eastAsia="仿宋_GB2312"/>
          <w:sz w:val="32"/>
          <w:szCs w:val="32"/>
        </w:rPr>
        <w:t>（十一）领导区直机关工会、共青团、妇联等群团组织的工作，指导区直机关各级党组织做好党的群众工作。</w:t>
      </w:r>
    </w:p>
    <w:p>
      <w:pPr>
        <w:ind w:firstLine="640" w:firstLineChars="200"/>
        <w:rPr>
          <w:rFonts w:hint="default" w:ascii="仿宋_GB2312" w:eastAsia="仿宋_GB2312"/>
          <w:sz w:val="32"/>
          <w:szCs w:val="32"/>
        </w:rPr>
      </w:pPr>
      <w:r>
        <w:rPr>
          <w:rFonts w:ascii="仿宋_GB2312" w:eastAsia="仿宋_GB2312"/>
          <w:sz w:val="32"/>
          <w:szCs w:val="32"/>
        </w:rPr>
        <w:t>（十二）协同有关部门指导、规划、协调、监督、检查区直机关干部教育培训工作，负责区直机关科级干部和党务干部培训轮训的组织协调工作。</w:t>
      </w:r>
    </w:p>
    <w:p>
      <w:pPr>
        <w:ind w:firstLine="640" w:firstLineChars="200"/>
        <w:rPr>
          <w:rFonts w:hint="default" w:ascii="仿宋_GB2312" w:eastAsia="仿宋_GB2312"/>
          <w:sz w:val="32"/>
          <w:szCs w:val="32"/>
        </w:rPr>
      </w:pPr>
      <w:r>
        <w:rPr>
          <w:rFonts w:ascii="仿宋_GB2312" w:eastAsia="仿宋_GB2312"/>
          <w:sz w:val="32"/>
          <w:szCs w:val="32"/>
        </w:rPr>
        <w:t>（十三）协助有关部门协调区直机关各部门做好维护稳定工作。</w:t>
      </w:r>
    </w:p>
    <w:p>
      <w:pPr>
        <w:pStyle w:val="6"/>
        <w:spacing w:line="560" w:lineRule="exact"/>
        <w:ind w:firstLine="640"/>
        <w:rPr>
          <w:rFonts w:hint="default" w:ascii="仿宋_GB2312" w:eastAsia="仿宋_GB2312"/>
          <w:sz w:val="32"/>
          <w:szCs w:val="32"/>
        </w:rPr>
      </w:pPr>
      <w:r>
        <w:rPr>
          <w:rFonts w:ascii="仿宋_GB2312" w:eastAsia="仿宋_GB2312"/>
          <w:sz w:val="32"/>
          <w:szCs w:val="32"/>
        </w:rPr>
        <w:t>（十四）完成区委交办的其他任务。</w:t>
      </w: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Cs/>
          <w:sz w:val="32"/>
          <w:szCs w:val="32"/>
        </w:rPr>
      </w:pPr>
      <w:r>
        <w:rPr>
          <w:rFonts w:ascii="仿宋_GB2312" w:eastAsia="仿宋_GB2312"/>
          <w:bCs/>
          <w:sz w:val="32"/>
          <w:szCs w:val="32"/>
        </w:rPr>
        <w:t>纳入本单位2022年决算编制范围的是中共浑南区直属机关工作委员会本级，本单位无下设机构。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中共浑南区直属机关工作委员会2022年决算情况说明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（一）收入总计249.36万元，包括：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1.财政拨款收入221.26万元，占收入总计的88.73%。其中：一般公共预算财政拨款收入221.26万元，政府性基金收入0万元，国有资本经营预算财政拨款收入0万元。</w:t>
      </w:r>
    </w:p>
    <w:p>
      <w:pPr>
        <w:pStyle w:val="6"/>
        <w:spacing w:line="560" w:lineRule="exact"/>
        <w:ind w:firstLine="660"/>
        <w:rPr>
          <w:rFonts w:hint="default" w:ascii="仿宋_GB2312" w:eastAsia="仿宋_GB2312"/>
          <w:sz w:val="32"/>
        </w:rPr>
      </w:pPr>
      <w:r>
        <w:rPr>
          <w:rFonts w:ascii="仿宋_GB2312" w:eastAsia="仿宋_GB2312"/>
          <w:sz w:val="32"/>
        </w:rPr>
        <w:t>2.其他收入5万元，占收入总计的2.01%。主要是上级拨付的党费。</w:t>
      </w:r>
    </w:p>
    <w:p>
      <w:pPr>
        <w:pStyle w:val="6"/>
        <w:spacing w:line="560" w:lineRule="exact"/>
        <w:ind w:firstLine="660"/>
        <w:rPr>
          <w:rFonts w:hint="default" w:ascii="仿宋_GB2312" w:eastAsia="仿宋_GB2312"/>
          <w:sz w:val="32"/>
        </w:rPr>
      </w:pPr>
      <w:r>
        <w:rPr>
          <w:rFonts w:ascii="仿宋_GB2312" w:eastAsia="仿宋_GB2312"/>
          <w:sz w:val="32"/>
        </w:rPr>
        <w:t>3.上年结转和结余23.1万元，占收入总计的9.26%。</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与上年相比，今年收入减少82.49万元，降低24.86%，主要原因是上级拨付党费减少。</w:t>
      </w:r>
    </w:p>
    <w:p>
      <w:pPr>
        <w:pStyle w:val="6"/>
        <w:spacing w:line="560" w:lineRule="exact"/>
        <w:ind w:firstLine="660"/>
        <w:rPr>
          <w:rFonts w:hint="default" w:ascii="楷体_GB2312" w:eastAsia="楷体_GB2312"/>
          <w:b/>
          <w:sz w:val="32"/>
        </w:rPr>
      </w:pPr>
      <w:r>
        <w:rPr>
          <w:rFonts w:ascii="楷体_GB2312" w:eastAsia="楷体_GB2312"/>
          <w:b/>
          <w:sz w:val="32"/>
        </w:rPr>
        <w:t>（二）支出总计234.13万元，包括：</w:t>
      </w:r>
    </w:p>
    <w:p>
      <w:pPr>
        <w:pStyle w:val="6"/>
        <w:spacing w:line="560" w:lineRule="exact"/>
        <w:ind w:firstLine="660"/>
        <w:rPr>
          <w:rFonts w:hint="default" w:ascii="仿宋_GB2312" w:eastAsia="仿宋_GB2312"/>
          <w:sz w:val="32"/>
        </w:rPr>
      </w:pPr>
      <w:r>
        <w:rPr>
          <w:rFonts w:ascii="仿宋_GB2312" w:eastAsia="仿宋_GB2312"/>
          <w:sz w:val="32"/>
        </w:rPr>
        <w:t>1.基本支出199.31万元，占支出总计的85.13%。主要是为保障机构正常运转、完成日常工作任务而发生的各项支出，其中：工资福利支出179.49万元，对个人和家庭的补助支出2.18万元，商品和服务支出17.64万元。</w:t>
      </w:r>
    </w:p>
    <w:p>
      <w:pPr>
        <w:pStyle w:val="6"/>
        <w:spacing w:line="560" w:lineRule="exact"/>
        <w:ind w:firstLine="660"/>
        <w:rPr>
          <w:rFonts w:hint="default" w:ascii="仿宋_GB2312" w:eastAsia="仿宋_GB2312"/>
          <w:sz w:val="32"/>
        </w:rPr>
      </w:pPr>
      <w:r>
        <w:rPr>
          <w:rFonts w:ascii="仿宋_GB2312" w:eastAsia="仿宋_GB2312"/>
          <w:sz w:val="32"/>
        </w:rPr>
        <w:t>2.项目支出34.82万元，占支出总计的14.87%。主要包括一般行政管理事务等业务支出。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与上年相比，今年支出减少74.62万元，降低24.17%，主要原因是项目支出减少。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（三）年末结转和结余15.22万元</w:t>
      </w:r>
    </w:p>
    <w:p>
      <w:pPr>
        <w:pStyle w:val="6"/>
        <w:spacing w:line="560" w:lineRule="exact"/>
        <w:ind w:firstLine="660"/>
        <w:rPr>
          <w:rFonts w:hint="default" w:ascii="仿宋_GB2312" w:eastAsia="仿宋_GB2312"/>
          <w:sz w:val="32"/>
        </w:rPr>
      </w:pPr>
      <w:r>
        <w:rPr>
          <w:rFonts w:ascii="仿宋_GB2312" w:eastAsia="仿宋_GB2312"/>
          <w:sz w:val="32"/>
        </w:rPr>
        <w:t>主要是项目支出形成的结余。与上年相比，今年结转结余减少7.88万元，降低34.11%，主要原因是项目支出减少。</w:t>
      </w:r>
    </w:p>
    <w:p>
      <w:pPr>
        <w:pStyle w:val="6"/>
        <w:spacing w:line="560" w:lineRule="exact"/>
        <w:ind w:firstLine="660"/>
        <w:rPr>
          <w:rFonts w:hint="default" w:ascii="楷体_GB2312" w:eastAsia="楷体_GB2312"/>
          <w:b/>
          <w:sz w:val="32"/>
        </w:rPr>
      </w:pPr>
      <w:r>
        <w:rPr>
          <w:rFonts w:ascii="黑体" w:eastAsia="黑体"/>
          <w:sz w:val="32"/>
        </w:rPr>
        <w:t>二、财政拨款收入支出决算情况说明</w:t>
      </w:r>
    </w:p>
    <w:p>
      <w:pPr>
        <w:pStyle w:val="6"/>
        <w:spacing w:line="560" w:lineRule="exact"/>
        <w:ind w:firstLine="660"/>
        <w:rPr>
          <w:rFonts w:hint="default" w:ascii="仿宋_GB2312" w:eastAsia="仿宋_GB2312"/>
          <w:sz w:val="32"/>
        </w:rPr>
      </w:pPr>
      <w:r>
        <w:rPr>
          <w:rFonts w:ascii="仿宋_GB2312" w:eastAsia="仿宋_GB2312"/>
          <w:sz w:val="32"/>
        </w:rPr>
        <w:t>2022年度财政拨款支出221.26万元，其中：基本支出199.31万元，项目支出21.94万元。与上年相比，财政拨款支出减少49.24万元，降低18.2%，主要原因是项目支出减少。与年初预算相比，2022年度财政拨款支出完成年初预算的100%，其中：基本支出完成年初预算的100%，项目支出完成年初预算的25.93%。</w:t>
      </w:r>
    </w:p>
    <w:p>
      <w:pPr>
        <w:spacing w:line="560" w:lineRule="exact"/>
        <w:ind w:firstLine="660"/>
        <w:rPr>
          <w:rFonts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221.26万元，按支出功能分类科目分，包括：一般公共服务支出174.77万元，占78.99%；社会保障和就业支出17.27元，占7.81%；卫生健康支出6.42万元，占2.9%；住房保障支出22.8万元，占10.3%。</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1.一般公共服务支出174.77万元，具体包括：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（1）一般公共服务支出（类）群众团体事务（款）行政运行（项）152.83万元，主要是</w:t>
      </w:r>
      <w:r>
        <w:rPr>
          <w:rFonts w:ascii="仿宋_GB2312" w:eastAsia="仿宋_GB2312"/>
          <w:sz w:val="32"/>
          <w:szCs w:val="32"/>
        </w:rPr>
        <w:t>工资福利支出、</w:t>
      </w:r>
      <w:r>
        <w:rPr>
          <w:rFonts w:ascii="仿宋_GB2312" w:eastAsia="仿宋_GB2312"/>
          <w:color w:val="000000"/>
          <w:sz w:val="32"/>
          <w:szCs w:val="32"/>
        </w:rPr>
        <w:t>商品和服务支出、对个人和家庭的补助支出、其他资本性支出</w:t>
      </w:r>
      <w:r>
        <w:rPr>
          <w:rFonts w:ascii="仿宋_GB2312" w:eastAsia="仿宋_GB2312"/>
          <w:sz w:val="32"/>
          <w:szCs w:val="32"/>
        </w:rPr>
        <w:t>等</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（2）一般公共服务支出（类）群众团体事务（款）一般行政管理事务（项）21.94万元，主要是</w:t>
      </w:r>
      <w:r>
        <w:rPr>
          <w:rFonts w:ascii="仿宋_GB2312" w:eastAsia="仿宋_GB2312"/>
          <w:sz w:val="32"/>
          <w:szCs w:val="32"/>
        </w:rPr>
        <w:t>项目</w:t>
      </w:r>
      <w:r>
        <w:rPr>
          <w:rFonts w:ascii="仿宋_GB2312" w:eastAsia="仿宋_GB2312"/>
          <w:color w:val="000000"/>
          <w:sz w:val="32"/>
          <w:szCs w:val="32"/>
        </w:rPr>
        <w:t>支出</w:t>
      </w:r>
      <w:r>
        <w:rPr>
          <w:rFonts w:ascii="仿宋_GB2312" w:eastAsia="仿宋_GB2312"/>
          <w:sz w:val="32"/>
          <w:szCs w:val="32"/>
        </w:rPr>
        <w:t>等</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 社会保障和就业支出17.27万元，具体包括：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（1）社会保障和就业支出（类）行政事业单位养老支出（款）行政单位离退休（项）2.18万元，主要是</w:t>
      </w:r>
      <w:r>
        <w:rPr>
          <w:rFonts w:ascii="仿宋_GB2312" w:eastAsia="仿宋_GB2312"/>
          <w:sz w:val="32"/>
          <w:szCs w:val="32"/>
        </w:rPr>
        <w:t>退休人员养老金支出</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（2）社会保障和就业支出（类）行政事业单位养老支出（款）机关事业单位基本养老保险缴费支出（项）15.08万元，主要是</w:t>
      </w:r>
      <w:r>
        <w:rPr>
          <w:rFonts w:ascii="仿宋_GB2312" w:eastAsia="仿宋_GB2312"/>
          <w:sz w:val="32"/>
          <w:szCs w:val="32"/>
        </w:rPr>
        <w:t>单位职工基本养老保险缴费支出</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60" w:lineRule="exact"/>
        <w:ind w:firstLine="645"/>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（3）社会保障和就业支出（类）行政事业单位养老支出（款）机关事业单位职业年金缴费支出（项）0.01元，主要是</w:t>
      </w:r>
      <w:r>
        <w:rPr>
          <w:rFonts w:ascii="仿宋_GB2312" w:eastAsia="仿宋_GB2312"/>
          <w:sz w:val="32"/>
          <w:szCs w:val="32"/>
        </w:rPr>
        <w:t>单位职工职业年金缴费支出</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3.卫生健康支出6.42万元，具体包括：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（1）卫生健康支出（类）行政事业单位医疗（款）行政单位医疗（项）5.75万元，主要是</w:t>
      </w:r>
      <w:r>
        <w:rPr>
          <w:rFonts w:ascii="仿宋_GB2312" w:eastAsia="仿宋_GB2312"/>
          <w:sz w:val="32"/>
          <w:szCs w:val="32"/>
        </w:rPr>
        <w:t>单位职工基本医疗保险缴费支出</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（2）卫生健康支出（类）行政事业单位医疗（款）公务员医疗补助（项）0.67万元，主要是公务员医疗补助</w:t>
      </w:r>
      <w:r>
        <w:rPr>
          <w:rFonts w:ascii="仿宋_GB2312" w:eastAsia="仿宋_GB2312"/>
          <w:sz w:val="32"/>
          <w:szCs w:val="32"/>
        </w:rPr>
        <w:t>支出</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4. 住房保障支出22.8万元，具体包括：</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（1）住房保障支出（类）住房改革支出（款）住房公积金（项）22.8万元，主要是</w:t>
      </w:r>
      <w:r>
        <w:rPr>
          <w:rFonts w:ascii="仿宋_GB2312" w:eastAsia="仿宋_GB2312"/>
          <w:sz w:val="32"/>
          <w:szCs w:val="32"/>
        </w:rPr>
        <w:t>单位职工缴纳住房公积金支出</w:t>
      </w:r>
      <w:r>
        <w:rPr>
          <w:rFonts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43" w:firstLineChars="200"/>
        <w:outlineLvl w:val="2"/>
        <w:rPr>
          <w:rFonts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ascii="黑体" w:hAnsi="黑体" w:eastAsia="黑体" w:cs="黑体"/>
          <w:b/>
          <w:color w:val="FF0000"/>
          <w:sz w:val="32"/>
          <w:szCs w:val="32"/>
        </w:rPr>
      </w:pPr>
      <w:r>
        <w:rPr>
          <w:rFonts w:ascii="楷体_GB2312" w:hAnsi="宋体" w:eastAsia="楷体_GB2312"/>
          <w:b/>
          <w:sz w:val="32"/>
          <w:szCs w:val="32"/>
        </w:rPr>
        <w:t>（四）国有资本经营预算财政拨款支出情况。</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199.31万元，其中：人员经费181.68万元，主要包括基本工资、津贴补贴、奖金、其他社会保障缴费、机关事业单位基本养老保险缴费、其他工资福利支出、退休费、抚恤金、生活补助、奖励金、住房公积金、采暖补贴、其他对个人和家庭补助的支出；日常公用经费17.64万元，主要包括办公费、印刷费、手续费、水费、电费、邮电费、会议费、培训费、劳务费、委托业务费、工会经费、福利费、其他交通费用、其他商品和服务支出。</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2022年度机关运行经费支出17.64万元，比上年决算数增加0.15万元，增长0.86%，主要原因是人员变动。</w:t>
      </w:r>
    </w:p>
    <w:p>
      <w:pPr>
        <w:pStyle w:val="6"/>
        <w:spacing w:line="560" w:lineRule="exact"/>
        <w:ind w:firstLine="640"/>
        <w:rPr>
          <w:rFonts w:ascii="黑体" w:hAnsi="黑体" w:eastAsia="黑体"/>
          <w:b/>
          <w:bCs/>
          <w:color w:val="FF0000"/>
          <w:sz w:val="32"/>
          <w:szCs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截至2022年12月31日，共有车辆0辆；单位价值50万元以上通用设备0台（套），单价100万元以上专用设备0台（套）。</w:t>
      </w:r>
    </w:p>
    <w:p>
      <w:pPr>
        <w:widowControl/>
        <w:spacing w:line="540" w:lineRule="exact"/>
        <w:ind w:firstLine="643" w:firstLineChars="200"/>
        <w:jc w:val="left"/>
        <w:rPr>
          <w:rFonts w:hint="default" w:ascii="仿宋_GB2312" w:hAnsi="仿宋_GB2312" w:eastAsia="仿宋_GB2312" w:cs="仿宋_GB2312"/>
          <w:b/>
          <w:color w:val="FF0000"/>
          <w:sz w:val="32"/>
          <w:szCs w:val="32"/>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管理要求，本部门组织对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3个（其中：一般公共预算项目3个，政府性基金预算项目0个，国有资本经营预算项目0个），涉及资金221.26万元（其中：一般公共预算资金221.26万元，政府性基金预算资金0万元，国有资本经营预算资金0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hint="eastAsia" w:ascii="仿宋_GB2312" w:hAnsi="宋体" w:eastAsia="仿宋_GB2312" w:cs="仿宋_GB2312"/>
          <w:sz w:val="32"/>
          <w:szCs w:val="32"/>
          <w:lang w:val="en-US" w:eastAsia="zh-CN"/>
        </w:rPr>
        <w:t>68.7</w:t>
      </w:r>
      <w:bookmarkStart w:id="0" w:name="_GoBack"/>
      <w:bookmarkEnd w:id="0"/>
      <w:r>
        <w:rPr>
          <w:rFonts w:ascii="仿宋_GB2312" w:hAnsi="宋体" w:eastAsia="仿宋_GB2312" w:cs="仿宋_GB2312"/>
          <w:sz w:val="32"/>
          <w:szCs w:val="32"/>
        </w:rPr>
        <w:t>分。</w:t>
      </w:r>
    </w:p>
    <w:p>
      <w:pPr>
        <w:widowControl/>
        <w:spacing w:line="520" w:lineRule="exact"/>
        <w:ind w:firstLine="640" w:firstLineChars="200"/>
        <w:jc w:val="left"/>
        <w:rPr>
          <w:rFonts w:hint="default"/>
        </w:rPr>
      </w:pPr>
      <w:r>
        <w:rPr>
          <w:rFonts w:hAnsi="宋体" w:eastAsia="仿宋_GB2312" w:cs="仿宋_GB2312"/>
          <w:sz w:val="32"/>
          <w:szCs w:val="32"/>
        </w:rPr>
        <w:t>组织对</w:t>
      </w:r>
      <w:r>
        <w:rPr>
          <w:rFonts w:hint="eastAsia" w:ascii="仿宋_GB2312" w:hAnsi="宋体" w:eastAsia="仿宋_GB2312" w:cs="仿宋_GB2312"/>
          <w:sz w:val="32"/>
          <w:szCs w:val="32"/>
          <w:lang w:eastAsia="zh-CN"/>
        </w:rPr>
        <w:t>本部门</w:t>
      </w:r>
      <w:r>
        <w:rPr>
          <w:rFonts w:hAnsi="宋体" w:eastAsia="仿宋_GB2312" w:cs="仿宋_GB2312"/>
          <w:sz w:val="32"/>
          <w:szCs w:val="32"/>
        </w:rPr>
        <w:t>开展整体绩效自评，涉及资金</w:t>
      </w:r>
      <w:r>
        <w:rPr>
          <w:rFonts w:ascii="仿宋_GB2312" w:hAnsi="宋体" w:eastAsia="仿宋_GB2312" w:cs="仿宋_GB2312"/>
          <w:sz w:val="32"/>
          <w:szCs w:val="32"/>
        </w:rPr>
        <w:t>221.26</w:t>
      </w:r>
      <w:r>
        <w:rPr>
          <w:rFonts w:hAnsi="宋体" w:eastAsia="仿宋_GB2312" w:cs="仿宋_GB2312"/>
          <w:sz w:val="32"/>
          <w:szCs w:val="32"/>
        </w:rPr>
        <w:t>万元。《部门（单位）整体绩效自评表》见附件。</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本部门</w:t>
      </w:r>
      <w:r>
        <w:rPr>
          <w:rFonts w:ascii="仿宋" w:hAnsi="仿宋" w:eastAsia="仿宋"/>
          <w:sz w:val="32"/>
        </w:rPr>
        <w:t>组织对“</w:t>
      </w:r>
      <w:r>
        <w:rPr>
          <w:rFonts w:ascii="仿宋_GB2312" w:hAnsi="宋体" w:eastAsia="仿宋_GB2312" w:cs="仿宋_GB2312"/>
          <w:sz w:val="32"/>
          <w:szCs w:val="32"/>
        </w:rPr>
        <w:t>基本支出-人员经费</w:t>
      </w:r>
      <w:r>
        <w:rPr>
          <w:rFonts w:ascii="仿宋" w:hAnsi="仿宋" w:eastAsia="仿宋"/>
          <w:sz w:val="32"/>
        </w:rPr>
        <w:t>”“</w:t>
      </w:r>
      <w:r>
        <w:rPr>
          <w:rFonts w:ascii="仿宋_GB2312" w:hAnsi="宋体" w:eastAsia="仿宋_GB2312" w:cs="仿宋_GB2312"/>
          <w:sz w:val="32"/>
          <w:szCs w:val="32"/>
        </w:rPr>
        <w:t>基本支出-公用经费</w:t>
      </w:r>
      <w:r>
        <w:rPr>
          <w:rFonts w:ascii="仿宋" w:hAnsi="仿宋" w:eastAsia="仿宋"/>
          <w:sz w:val="32"/>
        </w:rPr>
        <w:t>”“项目支出-主题活动经费”等3 个项目开展了部门评价，</w:t>
      </w:r>
      <w:r>
        <w:rPr>
          <w:rFonts w:hAnsi="宋体" w:eastAsia="仿宋_GB2312" w:cs="仿宋_GB2312"/>
          <w:sz w:val="32"/>
          <w:szCs w:val="32"/>
        </w:rPr>
        <w:t>涉及资金</w:t>
      </w:r>
      <w:r>
        <w:rPr>
          <w:rFonts w:ascii="仿宋_GB2312" w:hAnsi="宋体" w:eastAsia="仿宋_GB2312" w:cs="仿宋_GB2312"/>
          <w:sz w:val="32"/>
          <w:szCs w:val="32"/>
        </w:rPr>
        <w:t>221.26</w:t>
      </w:r>
      <w:r>
        <w:rPr>
          <w:rFonts w:hAnsi="宋体" w:eastAsia="仿宋_GB2312" w:cs="仿宋_GB2312"/>
          <w:sz w:val="32"/>
          <w:szCs w:val="32"/>
        </w:rPr>
        <w:t>万元</w:t>
      </w:r>
      <w:r>
        <w:rPr>
          <w:rFonts w:ascii="仿宋_GB2312" w:hAnsi="宋体" w:eastAsia="仿宋_GB2312" w:cs="仿宋_GB2312"/>
          <w:sz w:val="32"/>
          <w:szCs w:val="32"/>
        </w:rPr>
        <w:t>（其中：一般公共预算资金221.26万元，政府性基金预算资金0万元，国有资本经营预算资金0万元）</w:t>
      </w:r>
      <w:r>
        <w:rPr>
          <w:rFonts w:hAnsi="宋体" w:eastAsia="仿宋_GB2312" w:cs="仿宋_GB2312"/>
          <w:sz w:val="32"/>
          <w:szCs w:val="32"/>
        </w:rPr>
        <w:t>。从评价情况来看，部门预算执行较好。</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本部门在2022年度决算中反映主题活动经费等1个项目绩效自评结果。</w:t>
      </w:r>
    </w:p>
    <w:p>
      <w:pPr>
        <w:widowControl/>
        <w:spacing w:line="520" w:lineRule="exact"/>
        <w:ind w:firstLine="640" w:firstLineChars="200"/>
        <w:jc w:val="left"/>
        <w:rPr>
          <w:rFonts w:ascii="仿宋_GB2312" w:hAnsi="宋体" w:eastAsia="仿宋_GB2312" w:cs="仿宋_GB2312"/>
          <w:sz w:val="32"/>
          <w:szCs w:val="32"/>
        </w:rPr>
      </w:pPr>
      <w:r>
        <w:rPr>
          <w:rFonts w:ascii="仿宋_GB2312" w:hAnsi="宋体" w:eastAsia="仿宋_GB2312" w:cs="仿宋_GB2312"/>
          <w:sz w:val="32"/>
          <w:szCs w:val="32"/>
        </w:rPr>
        <w:t>（1）“主题活动经费”项目自评综述：根据年初设定的绩效目标，项目自评得分</w:t>
      </w:r>
      <w:r>
        <w:rPr>
          <w:rFonts w:hint="eastAsia" w:ascii="仿宋_GB2312" w:hAnsi="宋体" w:eastAsia="仿宋_GB2312" w:cs="仿宋_GB2312"/>
          <w:sz w:val="32"/>
          <w:szCs w:val="32"/>
          <w:lang w:val="en-US" w:eastAsia="zh-CN"/>
        </w:rPr>
        <w:t>68.7</w:t>
      </w:r>
      <w:r>
        <w:rPr>
          <w:rFonts w:ascii="仿宋_GB2312" w:hAnsi="宋体" w:eastAsia="仿宋_GB2312" w:cs="仿宋_GB2312"/>
          <w:sz w:val="32"/>
          <w:szCs w:val="32"/>
        </w:rPr>
        <w:t>分。项目全年预算数为80万元，执行数为21.94万元，完成预算的27.43%。项目绩效目标完成情况：举办的活动全部完成，存在计划开展但疫情原因未举办的活动。发现的主要问题及原因：</w:t>
      </w:r>
      <w:r>
        <w:rPr>
          <w:rFonts w:ascii="仿宋_GB2312" w:hAnsi="宋体" w:eastAsia="仿宋_GB2312" w:cs="黑体"/>
          <w:sz w:val="32"/>
          <w:szCs w:val="32"/>
        </w:rPr>
        <w:t>主要由于疫情，活动未全部开展</w:t>
      </w:r>
      <w:r>
        <w:rPr>
          <w:rFonts w:ascii="仿宋_GB2312" w:hAnsi="宋体" w:eastAsia="仿宋_GB2312" w:cs="仿宋_GB2312"/>
          <w:sz w:val="32"/>
          <w:szCs w:val="32"/>
        </w:rPr>
        <w:t>。下一步改进措施：</w:t>
      </w:r>
      <w:r>
        <w:rPr>
          <w:rFonts w:ascii="仿宋_GB2312" w:hAnsi="宋体" w:eastAsia="仿宋_GB2312" w:cs="黑体"/>
          <w:sz w:val="32"/>
          <w:szCs w:val="32"/>
        </w:rPr>
        <w:t>进一步提升预算执行效率</w:t>
      </w:r>
      <w:r>
        <w:rPr>
          <w:rFonts w:ascii="仿宋_GB2312" w:hAnsi="宋体" w:eastAsia="仿宋_GB2312" w:cs="仿宋_GB2312"/>
          <w:sz w:val="32"/>
          <w:szCs w:val="32"/>
        </w:rPr>
        <w:t>。</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spacing w:line="520" w:lineRule="exact"/>
        <w:ind w:firstLine="640" w:firstLineChars="200"/>
        <w:jc w:val="left"/>
        <w:rPr>
          <w:rFonts w:hint="default" w:ascii="仿宋_GB2312" w:hAnsi="宋体" w:eastAsia="仿宋_GB2312" w:cs="仿宋_GB2312"/>
          <w:bCs/>
          <w:sz w:val="32"/>
          <w:szCs w:val="32"/>
        </w:rPr>
      </w:pPr>
      <w:r>
        <w:rPr>
          <w:rFonts w:ascii="仿宋_GB2312" w:hAnsi="宋体" w:eastAsia="仿宋_GB2312" w:cs="仿宋_GB2312"/>
          <w:bCs/>
          <w:sz w:val="32"/>
          <w:szCs w:val="32"/>
        </w:rPr>
        <w:t>预算执行较好，建议继续全额安排。</w:t>
      </w:r>
    </w:p>
    <w:p>
      <w:pPr>
        <w:widowControl/>
        <w:spacing w:line="520" w:lineRule="exact"/>
        <w:ind w:firstLine="643" w:firstLineChars="200"/>
        <w:jc w:val="left"/>
        <w:rPr>
          <w:rFonts w:ascii="仿宋_GB2312" w:hAnsi="宋体" w:eastAsia="仿宋_GB2312" w:cs="仿宋_GB2312"/>
          <w:b/>
          <w:bCs/>
          <w:sz w:val="32"/>
          <w:szCs w:val="32"/>
        </w:rPr>
      </w:pPr>
      <w:r>
        <w:rPr>
          <w:rFonts w:ascii="仿宋_GB2312" w:hAnsi="宋体" w:eastAsia="仿宋_GB2312" w:cs="仿宋_GB2312"/>
          <w:b/>
          <w:bCs/>
          <w:sz w:val="32"/>
          <w:szCs w:val="32"/>
        </w:rPr>
        <w:t>4.财政评价结果。</w:t>
      </w:r>
    </w:p>
    <w:p>
      <w:pPr>
        <w:widowControl/>
        <w:spacing w:line="520" w:lineRule="exact"/>
        <w:ind w:firstLine="640" w:firstLineChars="200"/>
        <w:jc w:val="left"/>
        <w:rPr>
          <w:rFonts w:hint="default" w:ascii="仿宋_GB2312" w:hAnsi="宋体" w:eastAsia="仿宋_GB2312" w:cs="仿宋_GB2312"/>
          <w:bCs/>
          <w:sz w:val="32"/>
          <w:szCs w:val="32"/>
        </w:rPr>
      </w:pPr>
      <w:r>
        <w:rPr>
          <w:rFonts w:ascii="仿宋_GB2312" w:hAnsi="宋体" w:eastAsia="仿宋_GB2312" w:cs="仿宋_GB2312"/>
          <w:bCs/>
          <w:sz w:val="32"/>
          <w:szCs w:val="32"/>
        </w:rPr>
        <w:t>部门预算执行较好，建议继续全额安排，合理使用财政资金，使资金发挥更大效益。</w:t>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中国共产党沈阳市浑南区直属机关工作委员会2022年度决算表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72E97"/>
    <w:rsid w:val="000B596F"/>
    <w:rsid w:val="000D624A"/>
    <w:rsid w:val="00100607"/>
    <w:rsid w:val="00163F46"/>
    <w:rsid w:val="00176067"/>
    <w:rsid w:val="001D0B4A"/>
    <w:rsid w:val="001E5AD2"/>
    <w:rsid w:val="001E787D"/>
    <w:rsid w:val="002A4A62"/>
    <w:rsid w:val="00320394"/>
    <w:rsid w:val="00342E31"/>
    <w:rsid w:val="0038444A"/>
    <w:rsid w:val="00387684"/>
    <w:rsid w:val="003A3FF4"/>
    <w:rsid w:val="0044142C"/>
    <w:rsid w:val="00485722"/>
    <w:rsid w:val="004C6EC2"/>
    <w:rsid w:val="004E5261"/>
    <w:rsid w:val="00505889"/>
    <w:rsid w:val="00515E27"/>
    <w:rsid w:val="005812D3"/>
    <w:rsid w:val="005814A4"/>
    <w:rsid w:val="005850E2"/>
    <w:rsid w:val="00590A8D"/>
    <w:rsid w:val="005C4DCE"/>
    <w:rsid w:val="005C5E3C"/>
    <w:rsid w:val="0067527D"/>
    <w:rsid w:val="00753B9D"/>
    <w:rsid w:val="00756329"/>
    <w:rsid w:val="007D4761"/>
    <w:rsid w:val="007F77B9"/>
    <w:rsid w:val="008040A1"/>
    <w:rsid w:val="008A457A"/>
    <w:rsid w:val="00954778"/>
    <w:rsid w:val="00A17144"/>
    <w:rsid w:val="00A2186E"/>
    <w:rsid w:val="00A5357A"/>
    <w:rsid w:val="00A57A14"/>
    <w:rsid w:val="00A86C35"/>
    <w:rsid w:val="00AB664C"/>
    <w:rsid w:val="00AF6846"/>
    <w:rsid w:val="00B12973"/>
    <w:rsid w:val="00B47B2E"/>
    <w:rsid w:val="00B54181"/>
    <w:rsid w:val="00BA6B12"/>
    <w:rsid w:val="00BC09C4"/>
    <w:rsid w:val="00C505E5"/>
    <w:rsid w:val="00D578F7"/>
    <w:rsid w:val="00DA231F"/>
    <w:rsid w:val="00DC3915"/>
    <w:rsid w:val="00DF19A8"/>
    <w:rsid w:val="00DF4959"/>
    <w:rsid w:val="00E4305D"/>
    <w:rsid w:val="00E61CEC"/>
    <w:rsid w:val="00EA542D"/>
    <w:rsid w:val="00F16B2B"/>
    <w:rsid w:val="00F67249"/>
    <w:rsid w:val="00F724E9"/>
    <w:rsid w:val="00FA3F33"/>
    <w:rsid w:val="01622E76"/>
    <w:rsid w:val="082C6248"/>
    <w:rsid w:val="09C4782E"/>
    <w:rsid w:val="0DCC6BCA"/>
    <w:rsid w:val="0ECB7368"/>
    <w:rsid w:val="0FD91C07"/>
    <w:rsid w:val="11612EA5"/>
    <w:rsid w:val="12CC5588"/>
    <w:rsid w:val="131E2240"/>
    <w:rsid w:val="1B9703C5"/>
    <w:rsid w:val="1C635C29"/>
    <w:rsid w:val="1C6537BA"/>
    <w:rsid w:val="286C4199"/>
    <w:rsid w:val="28977847"/>
    <w:rsid w:val="2A3D2189"/>
    <w:rsid w:val="2E4F6256"/>
    <w:rsid w:val="33EC484D"/>
    <w:rsid w:val="36230505"/>
    <w:rsid w:val="36814D02"/>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5337</Words>
  <Characters>5763</Characters>
  <Lines>39</Lines>
  <Paragraphs>11</Paragraphs>
  <TotalTime>16</TotalTime>
  <ScaleCrop>false</ScaleCrop>
  <LinksUpToDate>false</LinksUpToDate>
  <CharactersWithSpaces>5802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2023-09-05T08:47:00Z</dcterms:created>
  <dc:creator>国库处-王艳秋</dc:creator>
  <cp:lastModifiedBy>初初</cp:lastModifiedBy>
  <cp:lastPrinted>2022-09-19T10:34:00Z</cp:lastPrinted>
  <dcterms:modified xsi:type="dcterms:W3CDTF">2023-09-08T08:25:30Z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