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辽宁省沈阳市浑南区直属机关工作委员会</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辽宁省沈阳市浑南区直属机关工作委员会</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辽宁省沈阳市浑南区直属机关工作委员会</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辽宁省沈阳市浑南区直属机关工作委员会</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辽宁省沈阳市浑南区直属机关工作委员会</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辽宁省沈阳市浑南区直属机关工作委员会概况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（一）统一组织、规划、部署区直机关党的工作，提出加强和改进机关党的建设的意见和建议，研究拟定工作规划，并抓好组织实施。</w:t>
        <w:br/>
        <w:t xml:space="preserve">    （二）指导区直机关党的政治建设、思想建设、组织建设、作风建设、纪律建设，把制度建设贯穿其中，深入推进反腐败斗争。</w:t>
        <w:br/>
        <w:t xml:space="preserve">    （三）指导区直机关各级党组织和广大党员学习马克思列宁主义、毛泽东思想、邓小平理论、“三个代表”重要思想、科学发展观、习近平新时代中国特色社会主义思想。</w:t>
        <w:br/>
        <w:t xml:space="preserve">    （四）对区直机关各级党组织、党员领导干部落实党建责任制、遵守政治纪律和政治规矩情况进行监督检查，并向区委报告。</w:t>
        <w:br/>
        <w:t xml:space="preserve">    （五）指导区直机关各级党组织实施对党员特别是党员领导干部的监督和管理，及时向区委反映各部门领导班子、领导干部的情况。</w:t>
        <w:br/>
        <w:t xml:space="preserve">    （六）配合区委有关部门抓好区直机关各部门领导班子思想政治建设，参与对党员领导干部民主生活会和区委各部门、区直各党组（党委）理论学习中心组学习的督促检查和指导，了解掌握情况，按规定报送情况报告。</w:t>
        <w:br/>
        <w:t xml:space="preserve">    （七）督促指导区直机关各部门机关党委（总支、支部）按期换届，审批关于召开党员大会或党员代表大会的请示；审批区直机关各部门机关（总支、支部）和机关纪委班子的组成及书记、副书记的任免。</w:t>
        <w:br/>
        <w:t xml:space="preserve">    （八）指导区直机关各级党组织加强基层组织建设，做好党员发展、教育和管理等工作。</w:t>
        <w:br/>
        <w:t xml:space="preserve">    （九）领导区直机关各部门机关党的纪律检查工作。</w:t>
        <w:br/>
        <w:t xml:space="preserve">    （十）了解掌握区直机关工作人员的思想状况，指导区直机关各级党组织加强思想政治工作和精神文明建设。</w:t>
        <w:br/>
        <w:t xml:space="preserve">    （十一）领导区直机关工会、共青团、妇联等群团组织的工作，指导区直机关各级党组织做好党的群众工作。</w:t>
        <w:br/>
        <w:t xml:space="preserve">    （十二）协同有关部门指导、规划、协调、监督、检查区直机关干部教育培训工作，负责区直机关科级干部和党务干部培训轮训的组织协调工作。</w:t>
        <w:br/>
        <w:t xml:space="preserve">    （十三）协助有关部门协调区直机关各部门做好维护稳定工作。</w:t>
        <w:br/>
        <w:t xml:space="preserve">    （十四）完成区委交办的其他任务。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辽宁省沈阳市浑南区直属机关工作委员会</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纳入本单位2024年决算编制范围的是中共浑南区直属机关工作委员会本级，本单位无下设机构。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160.02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140.37</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87.72</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140.37</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19.64</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12.27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主要是一般行政管理事务财政拨款结余等。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减少107.51万元，降低40.19%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项目活动减少导致财政拨款收入减少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141.16</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137.34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97.29</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工资福利支出122.13万元；商品和服务支出13.03万元；对个人和家庭的补助2.18万元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3.82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2.71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主要包括机关活动等业务支出。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减少106.73万元，降低43.05%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财政拨款与活动支出减少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18.86</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主要是一般行政管理事务使用等原因形成的结余。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减少0.79万元，降低4.01%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正常使用后结余正常变化</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140.37</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137.34</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3.03</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减少71.69万元，降低33.81%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由于活动项目减少，申请财政拨款减少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59.40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82.13</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4.39</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2024年度一般公共预算财政拨款支出140.37万元。按支出功能分类科目分，包括：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1.一般公共服务支出99.83万元，具体包括：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群众团体事务（款）行政运行（项）96.80万元,主要是工资福利支出、对个人和家庭的补助支出、其他资本性支出等支出，完成年初预算的78%，决算数与年初预算数存在差异的主要原因是人员减少，工资待遇福利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（2）一般公共服务支出（类）群众团体事务（款）一般行政管理事务（项）3.03万元,主要是人员餐费等支出，完成年初预算的4%，决算数与年初预算数存在差异的主要原因是主题活动未开展。</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2.社会保障和就业支出21.97万元，具体包括：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（1）社会保障和就业支出（类）行政事业单位养老支出（款）行政单位离退休（项）2.18万元,主要是退休人员采暖费等支出，完成年初预算的99%，决算数与年初预算数存在差异的主要原因是人员差异。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12.25万元,主要是员工基本养老保险缴费等支出，完成年初预算的90%，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（3）社会保障和就业支出（类）行政事业单位养老支出（款）机关事业单位职业年金缴费支出（项）7.54万元,主要是职业年金等支出，完成年初预算的90%，决算数与年初预算数存在差异的主要原因是工资变动。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3.卫生健康支出4.81万元，具体包括：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（1）卫生健康支出（类）行政事业单位医疗（款）行政单位医疗（项）4.81万元,主要是医疗保障报销等支出，完成年初预算的80%，决算数与年初预算数存在差异的主要原因是医疗补助变动。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4.住房保障支出13.75万元，具体包括：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（1）住房保障支出（类）住房改革支出（款）住房公积金（项）13.75万元,主要是发放住房公积金等支出，完成年初预算的68%，决算数与年初预算数存在差异的主要原因是工资基数调整。</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无此项经费使用</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无此项经费使用</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无此项经费使用</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无此项经费使用</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无此项经费使用</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无此项经费使用</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无此项经费使用</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137.34</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124.31</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13.03</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13.03</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比上年增加0.19万元，增长1.48%</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运行费用增加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具体而言，本年度我部门共组织对6个项目实施了绩效评价。从预算资金来源看，涉及一般公共预算的项目6个，涉及政府性基金预算的项目0个，涉及国有资本经营预算的项目0个。</w:t>
        <w:br/>
        <w:t xml:space="preserve">    上述评价工作共涉及财政资金167.23万元。其中，一般公共预算资金167.23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6个；得分在80分（含）至90分、等级为“良”的项目有0个；得分在60分（含）至80分、等级为“中”的项目有0；得分在60分以下、等级为“差”的项目有0个。各项目自评发现，部分项目存在问题，如：预算执行进度偏慢、个别效益指标未能完全达成等，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在全面自评的基础上，本部门选取了2个资金量大、社会关注度高、具有代表性的重点项目实施了部门重点评价。评价工作通过数据采集分析方式进行，确保了评价结果的客观性和公正性。</w:t>
        <w:br/>
        <w:t xml:space="preserve">    我部门组织对2个项目重点评价，结果显示，被评价项目整体绩效情况良好。其中：第一个重点项目为雇员经费，涉及资金1.71万元，评价平均分为100分，评级情况为优；第二个重点项目为残疾人就业保障金，涉及资金1.17万元，评价平均分为100分，评级情况为优。同时，评价也发现2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部门：辽宁省沈阳市浑南区直属机关工作委员会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140.37</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100.62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21.98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4.81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13.75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140.37</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141.16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19.64</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18.86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160.02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160.02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部门：辽宁省沈阳市浑南区直属机关工作委员会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140.37</w:t>
            </w:r>
          </w:p>
        </w:tc>
        <w:tc>
          <w:tcPr>
            <w:tcW w:w="960" w:type="dxa"/>
            <w:tcBorders/>
            <w:vAlign w:val="center"/>
          </w:tcPr>
          <w:p>
            <w:pPr>
              <w:jc w:val="right"/>
            </w:pPr>
            <w:r>
              <w:rPr>
                <w:rFonts w:ascii="宋体" w:eastAsia="宋体" w:hAnsi="宋体" w:cs="宋体"/>
                <w:b/>
                <w:i w:val="0"/>
                <w:color w:val="000000"/>
                <w:sz w:val="13"/>
              </w:rPr>
              <w:t xml:space="preserve">140.37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99.83</w:t>
            </w:r>
          </w:p>
        </w:tc>
        <w:tc>
          <w:tcPr>
            <w:tcW w:w="960" w:type="dxa"/>
            <w:tcBorders/>
            <w:vAlign w:val="center"/>
          </w:tcPr>
          <w:p>
            <w:pPr>
              <w:jc w:val="right"/>
            </w:pPr>
            <w:r>
              <w:rPr>
                <w:rFonts w:ascii="宋体" w:eastAsia="宋体" w:hAnsi="宋体" w:cs="宋体"/>
                <w:b w:val="0"/>
                <w:i w:val="0"/>
                <w:color w:val="000000"/>
                <w:sz w:val="13"/>
              </w:rPr>
              <w:t xml:space="preserve">99.83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20129</w:t>
            </w:r>
          </w:p>
        </w:tc>
        <w:tc>
          <w:tcPr>
            <w:tcW w:w="3200" w:type="dxa"/>
            <w:tcBorders/>
            <w:vAlign w:val="center"/>
          </w:tcPr>
          <w:p>
            <w:pPr>
              <w:jc w:val="left"/>
            </w:pPr>
            <w:r>
              <w:rPr>
                <w:rFonts w:ascii="宋体" w:eastAsia="宋体" w:hAnsi="宋体" w:cs="宋体"/>
                <w:b w:val="0"/>
                <w:i w:val="0"/>
                <w:color w:val="000000"/>
                <w:sz w:val="13"/>
              </w:rPr>
              <w:t xml:space="preserve">群众团体事务</w:t>
            </w:r>
          </w:p>
        </w:tc>
        <w:tc>
          <w:tcPr>
            <w:tcW w:w="960" w:type="dxa"/>
            <w:tcBorders/>
            <w:vAlign w:val="center"/>
          </w:tcPr>
          <w:p>
            <w:pPr>
              <w:jc w:val="right"/>
            </w:pPr>
            <w:r>
              <w:rPr>
                <w:rFonts w:ascii="宋体" w:eastAsia="宋体" w:hAnsi="宋体" w:cs="宋体"/>
                <w:b w:val="0"/>
                <w:i w:val="0"/>
                <w:color w:val="000000"/>
                <w:sz w:val="13"/>
              </w:rPr>
              <w:t xml:space="preserve">99.83</w:t>
            </w:r>
          </w:p>
        </w:tc>
        <w:tc>
          <w:tcPr>
            <w:tcW w:w="960" w:type="dxa"/>
            <w:tcBorders/>
            <w:vAlign w:val="center"/>
          </w:tcPr>
          <w:p>
            <w:pPr>
              <w:jc w:val="right"/>
            </w:pPr>
            <w:r>
              <w:rPr>
                <w:rFonts w:ascii="宋体" w:eastAsia="宋体" w:hAnsi="宋体" w:cs="宋体"/>
                <w:b w:val="0"/>
                <w:i w:val="0"/>
                <w:color w:val="000000"/>
                <w:sz w:val="13"/>
              </w:rPr>
              <w:t xml:space="preserve">99.83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2012901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96.80</w:t>
            </w:r>
          </w:p>
        </w:tc>
        <w:tc>
          <w:tcPr>
            <w:tcW w:w="960" w:type="dxa"/>
            <w:tcBorders/>
            <w:vAlign w:val="center"/>
          </w:tcPr>
          <w:p>
            <w:pPr>
              <w:jc w:val="right"/>
            </w:pPr>
            <w:r>
              <w:rPr>
                <w:rFonts w:ascii="宋体" w:eastAsia="宋体" w:hAnsi="宋体" w:cs="宋体"/>
                <w:b w:val="0"/>
                <w:i w:val="0"/>
                <w:color w:val="000000"/>
                <w:sz w:val="13"/>
              </w:rPr>
              <w:t xml:space="preserve">96.80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2012902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3.03</w:t>
            </w:r>
          </w:p>
        </w:tc>
        <w:tc>
          <w:tcPr>
            <w:tcW w:w="960" w:type="dxa"/>
            <w:tcBorders/>
            <w:vAlign w:val="center"/>
          </w:tcPr>
          <w:p>
            <w:pPr>
              <w:jc w:val="right"/>
            </w:pPr>
            <w:r>
              <w:rPr>
                <w:rFonts w:ascii="宋体" w:eastAsia="宋体" w:hAnsi="宋体" w:cs="宋体"/>
                <w:b w:val="0"/>
                <w:i w:val="0"/>
                <w:color w:val="000000"/>
                <w:sz w:val="13"/>
              </w:rPr>
              <w:t xml:space="preserve">3.03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21.97</w:t>
            </w:r>
          </w:p>
        </w:tc>
        <w:tc>
          <w:tcPr>
            <w:tcW w:w="960" w:type="dxa"/>
            <w:tcBorders/>
            <w:vAlign w:val="center"/>
          </w:tcPr>
          <w:p>
            <w:pPr>
              <w:jc w:val="right"/>
            </w:pPr>
            <w:r>
              <w:rPr>
                <w:rFonts w:ascii="宋体" w:eastAsia="宋体" w:hAnsi="宋体" w:cs="宋体"/>
                <w:b w:val="0"/>
                <w:i w:val="0"/>
                <w:color w:val="000000"/>
                <w:sz w:val="13"/>
              </w:rPr>
              <w:t xml:space="preserve">21.97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21.97</w:t>
            </w:r>
          </w:p>
        </w:tc>
        <w:tc>
          <w:tcPr>
            <w:tcW w:w="960" w:type="dxa"/>
            <w:tcBorders/>
            <w:vAlign w:val="center"/>
          </w:tcPr>
          <w:p>
            <w:pPr>
              <w:jc w:val="right"/>
            </w:pPr>
            <w:r>
              <w:rPr>
                <w:rFonts w:ascii="宋体" w:eastAsia="宋体" w:hAnsi="宋体" w:cs="宋体"/>
                <w:b w:val="0"/>
                <w:i w:val="0"/>
                <w:color w:val="000000"/>
                <w:sz w:val="13"/>
              </w:rPr>
              <w:t xml:space="preserve">21.97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2.18</w:t>
            </w:r>
          </w:p>
        </w:tc>
        <w:tc>
          <w:tcPr>
            <w:tcW w:w="960" w:type="dxa"/>
            <w:tcBorders/>
            <w:vAlign w:val="center"/>
          </w:tcPr>
          <w:p>
            <w:pPr>
              <w:jc w:val="right"/>
            </w:pPr>
            <w:r>
              <w:rPr>
                <w:rFonts w:ascii="宋体" w:eastAsia="宋体" w:hAnsi="宋体" w:cs="宋体"/>
                <w:b w:val="0"/>
                <w:i w:val="0"/>
                <w:color w:val="000000"/>
                <w:sz w:val="13"/>
              </w:rPr>
              <w:t xml:space="preserve">2.18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12.25</w:t>
            </w:r>
          </w:p>
        </w:tc>
        <w:tc>
          <w:tcPr>
            <w:tcW w:w="960" w:type="dxa"/>
            <w:tcBorders/>
            <w:vAlign w:val="center"/>
          </w:tcPr>
          <w:p>
            <w:pPr>
              <w:jc w:val="right"/>
            </w:pPr>
            <w:r>
              <w:rPr>
                <w:rFonts w:ascii="宋体" w:eastAsia="宋体" w:hAnsi="宋体" w:cs="宋体"/>
                <w:b w:val="0"/>
                <w:i w:val="0"/>
                <w:color w:val="000000"/>
                <w:sz w:val="13"/>
              </w:rPr>
              <w:t xml:space="preserve">12.25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7.54</w:t>
            </w:r>
          </w:p>
        </w:tc>
        <w:tc>
          <w:tcPr>
            <w:tcW w:w="960" w:type="dxa"/>
            <w:tcBorders/>
            <w:vAlign w:val="center"/>
          </w:tcPr>
          <w:p>
            <w:pPr>
              <w:jc w:val="right"/>
            </w:pPr>
            <w:r>
              <w:rPr>
                <w:rFonts w:ascii="宋体" w:eastAsia="宋体" w:hAnsi="宋体" w:cs="宋体"/>
                <w:b w:val="0"/>
                <w:i w:val="0"/>
                <w:color w:val="000000"/>
                <w:sz w:val="13"/>
              </w:rPr>
              <w:t xml:space="preserve">7.54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4.81</w:t>
            </w:r>
          </w:p>
        </w:tc>
        <w:tc>
          <w:tcPr>
            <w:tcW w:w="960" w:type="dxa"/>
            <w:tcBorders/>
            <w:vAlign w:val="center"/>
          </w:tcPr>
          <w:p>
            <w:pPr>
              <w:jc w:val="right"/>
            </w:pPr>
            <w:r>
              <w:rPr>
                <w:rFonts w:ascii="宋体" w:eastAsia="宋体" w:hAnsi="宋体" w:cs="宋体"/>
                <w:b w:val="0"/>
                <w:i w:val="0"/>
                <w:color w:val="000000"/>
                <w:sz w:val="13"/>
              </w:rPr>
              <w:t xml:space="preserve">4.81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4.81</w:t>
            </w:r>
          </w:p>
        </w:tc>
        <w:tc>
          <w:tcPr>
            <w:tcW w:w="960" w:type="dxa"/>
            <w:tcBorders/>
            <w:vAlign w:val="center"/>
          </w:tcPr>
          <w:p>
            <w:pPr>
              <w:jc w:val="right"/>
            </w:pPr>
            <w:r>
              <w:rPr>
                <w:rFonts w:ascii="宋体" w:eastAsia="宋体" w:hAnsi="宋体" w:cs="宋体"/>
                <w:b w:val="0"/>
                <w:i w:val="0"/>
                <w:color w:val="000000"/>
                <w:sz w:val="13"/>
              </w:rPr>
              <w:t xml:space="preserve">4.81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4.81</w:t>
            </w:r>
          </w:p>
        </w:tc>
        <w:tc>
          <w:tcPr>
            <w:tcW w:w="960" w:type="dxa"/>
            <w:tcBorders/>
            <w:vAlign w:val="center"/>
          </w:tcPr>
          <w:p>
            <w:pPr>
              <w:jc w:val="right"/>
            </w:pPr>
            <w:r>
              <w:rPr>
                <w:rFonts w:ascii="宋体" w:eastAsia="宋体" w:hAnsi="宋体" w:cs="宋体"/>
                <w:b w:val="0"/>
                <w:i w:val="0"/>
                <w:color w:val="000000"/>
                <w:sz w:val="13"/>
              </w:rPr>
              <w:t xml:space="preserve">4.81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13.75</w:t>
            </w:r>
          </w:p>
        </w:tc>
        <w:tc>
          <w:tcPr>
            <w:tcW w:w="960" w:type="dxa"/>
            <w:tcBorders/>
            <w:vAlign w:val="center"/>
          </w:tcPr>
          <w:p>
            <w:pPr>
              <w:jc w:val="right"/>
            </w:pPr>
            <w:r>
              <w:rPr>
                <w:rFonts w:ascii="宋体" w:eastAsia="宋体" w:hAnsi="宋体" w:cs="宋体"/>
                <w:b w:val="0"/>
                <w:i w:val="0"/>
                <w:color w:val="000000"/>
                <w:sz w:val="13"/>
              </w:rPr>
              <w:t xml:space="preserve">13.75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13.75</w:t>
            </w:r>
          </w:p>
        </w:tc>
        <w:tc>
          <w:tcPr>
            <w:tcW w:w="960" w:type="dxa"/>
            <w:tcBorders/>
            <w:vAlign w:val="center"/>
          </w:tcPr>
          <w:p>
            <w:pPr>
              <w:jc w:val="right"/>
            </w:pPr>
            <w:r>
              <w:rPr>
                <w:rFonts w:ascii="宋体" w:eastAsia="宋体" w:hAnsi="宋体" w:cs="宋体"/>
                <w:b w:val="0"/>
                <w:i w:val="0"/>
                <w:color w:val="000000"/>
                <w:sz w:val="13"/>
              </w:rPr>
              <w:t xml:space="preserve">13.75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13.75</w:t>
            </w:r>
          </w:p>
        </w:tc>
        <w:tc>
          <w:tcPr>
            <w:tcW w:w="960" w:type="dxa"/>
            <w:tcBorders/>
            <w:vAlign w:val="center"/>
          </w:tcPr>
          <w:p>
            <w:pPr>
              <w:jc w:val="right"/>
            </w:pPr>
            <w:r>
              <w:rPr>
                <w:rFonts w:ascii="宋体" w:eastAsia="宋体" w:hAnsi="宋体" w:cs="宋体"/>
                <w:b w:val="0"/>
                <w:i w:val="0"/>
                <w:color w:val="000000"/>
                <w:sz w:val="13"/>
              </w:rPr>
              <w:t xml:space="preserve">13.75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部门：辽宁省沈阳市浑南区直属机关工作委员会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141.16</w:t>
            </w:r>
          </w:p>
        </w:tc>
        <w:tc>
          <w:tcPr>
            <w:tcW w:w="1060" w:type="dxa"/>
            <w:tcBorders/>
            <w:vAlign w:val="center"/>
          </w:tcPr>
          <w:p>
            <w:pPr>
              <w:jc w:val="right"/>
            </w:pPr>
            <w:r>
              <w:rPr>
                <w:rFonts w:ascii="宋体" w:eastAsia="宋体" w:hAnsi="宋体" w:cs="宋体"/>
                <w:b/>
                <w:i w:val="0"/>
                <w:color w:val="000000"/>
                <w:sz w:val="14"/>
              </w:rPr>
              <w:t xml:space="preserve">137.34</w:t>
            </w:r>
          </w:p>
        </w:tc>
        <w:tc>
          <w:tcPr>
            <w:tcW w:w="1060" w:type="dxa"/>
            <w:tcBorders/>
            <w:vAlign w:val="center"/>
          </w:tcPr>
          <w:p>
            <w:pPr>
              <w:jc w:val="right"/>
            </w:pPr>
            <w:r>
              <w:rPr>
                <w:rFonts w:ascii="宋体" w:eastAsia="宋体" w:hAnsi="宋体" w:cs="宋体"/>
                <w:b/>
                <w:i w:val="0"/>
                <w:color w:val="000000"/>
                <w:sz w:val="14"/>
              </w:rPr>
              <w:t xml:space="preserve">3.82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100.62</w:t>
            </w:r>
          </w:p>
        </w:tc>
        <w:tc>
          <w:tcPr>
            <w:tcW w:w="1060" w:type="dxa"/>
            <w:tcBorders/>
            <w:vAlign w:val="center"/>
          </w:tcPr>
          <w:p>
            <w:pPr>
              <w:jc w:val="right"/>
            </w:pPr>
            <w:r>
              <w:rPr>
                <w:rFonts w:ascii="宋体" w:eastAsia="宋体" w:hAnsi="宋体" w:cs="宋体"/>
                <w:b w:val="0"/>
                <w:i w:val="0"/>
                <w:color w:val="000000"/>
                <w:sz w:val="14"/>
              </w:rPr>
              <w:t xml:space="preserve">96.80</w:t>
            </w:r>
          </w:p>
        </w:tc>
        <w:tc>
          <w:tcPr>
            <w:tcW w:w="1060" w:type="dxa"/>
            <w:tcBorders/>
            <w:vAlign w:val="center"/>
          </w:tcPr>
          <w:p>
            <w:pPr>
              <w:jc w:val="right"/>
            </w:pPr>
            <w:r>
              <w:rPr>
                <w:rFonts w:ascii="宋体" w:eastAsia="宋体" w:hAnsi="宋体" w:cs="宋体"/>
                <w:b w:val="0"/>
                <w:i w:val="0"/>
                <w:color w:val="000000"/>
                <w:sz w:val="14"/>
              </w:rPr>
              <w:t xml:space="preserve">3.82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20129</w:t>
            </w:r>
          </w:p>
        </w:tc>
        <w:tc>
          <w:tcPr>
            <w:tcW w:w="3440" w:type="dxa"/>
            <w:tcBorders/>
            <w:vAlign w:val="center"/>
          </w:tcPr>
          <w:p>
            <w:pPr>
              <w:jc w:val="left"/>
            </w:pPr>
            <w:r>
              <w:rPr>
                <w:rFonts w:ascii="宋体" w:eastAsia="宋体" w:hAnsi="宋体" w:cs="宋体"/>
                <w:b w:val="0"/>
                <w:i w:val="0"/>
                <w:color w:val="000000"/>
                <w:sz w:val="14"/>
              </w:rPr>
              <w:t xml:space="preserve">群众团体事务</w:t>
            </w:r>
          </w:p>
        </w:tc>
        <w:tc>
          <w:tcPr>
            <w:tcW w:w="1060" w:type="dxa"/>
            <w:tcBorders/>
            <w:vAlign w:val="center"/>
          </w:tcPr>
          <w:p>
            <w:pPr>
              <w:jc w:val="right"/>
            </w:pPr>
            <w:r>
              <w:rPr>
                <w:rFonts w:ascii="宋体" w:eastAsia="宋体" w:hAnsi="宋体" w:cs="宋体"/>
                <w:b w:val="0"/>
                <w:i w:val="0"/>
                <w:color w:val="000000"/>
                <w:sz w:val="14"/>
              </w:rPr>
              <w:t xml:space="preserve">100.62</w:t>
            </w:r>
          </w:p>
        </w:tc>
        <w:tc>
          <w:tcPr>
            <w:tcW w:w="1060" w:type="dxa"/>
            <w:tcBorders/>
            <w:vAlign w:val="center"/>
          </w:tcPr>
          <w:p>
            <w:pPr>
              <w:jc w:val="right"/>
            </w:pPr>
            <w:r>
              <w:rPr>
                <w:rFonts w:ascii="宋体" w:eastAsia="宋体" w:hAnsi="宋体" w:cs="宋体"/>
                <w:b w:val="0"/>
                <w:i w:val="0"/>
                <w:color w:val="000000"/>
                <w:sz w:val="14"/>
              </w:rPr>
              <w:t xml:space="preserve">96.80</w:t>
            </w:r>
          </w:p>
        </w:tc>
        <w:tc>
          <w:tcPr>
            <w:tcW w:w="1060" w:type="dxa"/>
            <w:tcBorders/>
            <w:vAlign w:val="center"/>
          </w:tcPr>
          <w:p>
            <w:pPr>
              <w:jc w:val="right"/>
            </w:pPr>
            <w:r>
              <w:rPr>
                <w:rFonts w:ascii="宋体" w:eastAsia="宋体" w:hAnsi="宋体" w:cs="宋体"/>
                <w:b w:val="0"/>
                <w:i w:val="0"/>
                <w:color w:val="000000"/>
                <w:sz w:val="14"/>
              </w:rPr>
              <w:t xml:space="preserve">3.82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2012901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96.80</w:t>
            </w:r>
          </w:p>
        </w:tc>
        <w:tc>
          <w:tcPr>
            <w:tcW w:w="1060" w:type="dxa"/>
            <w:tcBorders/>
            <w:vAlign w:val="center"/>
          </w:tcPr>
          <w:p>
            <w:pPr>
              <w:jc w:val="right"/>
            </w:pPr>
            <w:r>
              <w:rPr>
                <w:rFonts w:ascii="宋体" w:eastAsia="宋体" w:hAnsi="宋体" w:cs="宋体"/>
                <w:b w:val="0"/>
                <w:i w:val="0"/>
                <w:color w:val="000000"/>
                <w:sz w:val="14"/>
              </w:rPr>
              <w:t xml:space="preserve">96.80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2012902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3.82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21.97</w:t>
            </w:r>
          </w:p>
        </w:tc>
        <w:tc>
          <w:tcPr>
            <w:tcW w:w="1060" w:type="dxa"/>
            <w:tcBorders/>
            <w:vAlign w:val="center"/>
          </w:tcPr>
          <w:p>
            <w:pPr>
              <w:jc w:val="right"/>
            </w:pPr>
            <w:r>
              <w:rPr>
                <w:rFonts w:ascii="宋体" w:eastAsia="宋体" w:hAnsi="宋体" w:cs="宋体"/>
                <w:b w:val="0"/>
                <w:i w:val="0"/>
                <w:color w:val="000000"/>
                <w:sz w:val="14"/>
              </w:rPr>
              <w:t xml:space="preserve">21.97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21.97</w:t>
            </w:r>
          </w:p>
        </w:tc>
        <w:tc>
          <w:tcPr>
            <w:tcW w:w="1060" w:type="dxa"/>
            <w:tcBorders/>
            <w:vAlign w:val="center"/>
          </w:tcPr>
          <w:p>
            <w:pPr>
              <w:jc w:val="right"/>
            </w:pPr>
            <w:r>
              <w:rPr>
                <w:rFonts w:ascii="宋体" w:eastAsia="宋体" w:hAnsi="宋体" w:cs="宋体"/>
                <w:b w:val="0"/>
                <w:i w:val="0"/>
                <w:color w:val="000000"/>
                <w:sz w:val="14"/>
              </w:rPr>
              <w:t xml:space="preserve">21.97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2.18</w:t>
            </w:r>
          </w:p>
        </w:tc>
        <w:tc>
          <w:tcPr>
            <w:tcW w:w="1060" w:type="dxa"/>
            <w:tcBorders/>
            <w:vAlign w:val="center"/>
          </w:tcPr>
          <w:p>
            <w:pPr>
              <w:jc w:val="right"/>
            </w:pPr>
            <w:r>
              <w:rPr>
                <w:rFonts w:ascii="宋体" w:eastAsia="宋体" w:hAnsi="宋体" w:cs="宋体"/>
                <w:b w:val="0"/>
                <w:i w:val="0"/>
                <w:color w:val="000000"/>
                <w:sz w:val="14"/>
              </w:rPr>
              <w:t xml:space="preserve">2.18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12.25</w:t>
            </w:r>
          </w:p>
        </w:tc>
        <w:tc>
          <w:tcPr>
            <w:tcW w:w="1060" w:type="dxa"/>
            <w:tcBorders/>
            <w:vAlign w:val="center"/>
          </w:tcPr>
          <w:p>
            <w:pPr>
              <w:jc w:val="right"/>
            </w:pPr>
            <w:r>
              <w:rPr>
                <w:rFonts w:ascii="宋体" w:eastAsia="宋体" w:hAnsi="宋体" w:cs="宋体"/>
                <w:b w:val="0"/>
                <w:i w:val="0"/>
                <w:color w:val="000000"/>
                <w:sz w:val="14"/>
              </w:rPr>
              <w:t xml:space="preserve">12.25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7.54</w:t>
            </w:r>
          </w:p>
        </w:tc>
        <w:tc>
          <w:tcPr>
            <w:tcW w:w="1060" w:type="dxa"/>
            <w:tcBorders/>
            <w:vAlign w:val="center"/>
          </w:tcPr>
          <w:p>
            <w:pPr>
              <w:jc w:val="right"/>
            </w:pPr>
            <w:r>
              <w:rPr>
                <w:rFonts w:ascii="宋体" w:eastAsia="宋体" w:hAnsi="宋体" w:cs="宋体"/>
                <w:b w:val="0"/>
                <w:i w:val="0"/>
                <w:color w:val="000000"/>
                <w:sz w:val="14"/>
              </w:rPr>
              <w:t xml:space="preserve">7.54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4.81</w:t>
            </w:r>
          </w:p>
        </w:tc>
        <w:tc>
          <w:tcPr>
            <w:tcW w:w="1060" w:type="dxa"/>
            <w:tcBorders/>
            <w:vAlign w:val="center"/>
          </w:tcPr>
          <w:p>
            <w:pPr>
              <w:jc w:val="right"/>
            </w:pPr>
            <w:r>
              <w:rPr>
                <w:rFonts w:ascii="宋体" w:eastAsia="宋体" w:hAnsi="宋体" w:cs="宋体"/>
                <w:b w:val="0"/>
                <w:i w:val="0"/>
                <w:color w:val="000000"/>
                <w:sz w:val="14"/>
              </w:rPr>
              <w:t xml:space="preserve">4.81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4.81</w:t>
            </w:r>
          </w:p>
        </w:tc>
        <w:tc>
          <w:tcPr>
            <w:tcW w:w="1060" w:type="dxa"/>
            <w:tcBorders/>
            <w:vAlign w:val="center"/>
          </w:tcPr>
          <w:p>
            <w:pPr>
              <w:jc w:val="right"/>
            </w:pPr>
            <w:r>
              <w:rPr>
                <w:rFonts w:ascii="宋体" w:eastAsia="宋体" w:hAnsi="宋体" w:cs="宋体"/>
                <w:b w:val="0"/>
                <w:i w:val="0"/>
                <w:color w:val="000000"/>
                <w:sz w:val="14"/>
              </w:rPr>
              <w:t xml:space="preserve">4.81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4.81</w:t>
            </w:r>
          </w:p>
        </w:tc>
        <w:tc>
          <w:tcPr>
            <w:tcW w:w="1060" w:type="dxa"/>
            <w:tcBorders/>
            <w:vAlign w:val="center"/>
          </w:tcPr>
          <w:p>
            <w:pPr>
              <w:jc w:val="right"/>
            </w:pPr>
            <w:r>
              <w:rPr>
                <w:rFonts w:ascii="宋体" w:eastAsia="宋体" w:hAnsi="宋体" w:cs="宋体"/>
                <w:b w:val="0"/>
                <w:i w:val="0"/>
                <w:color w:val="000000"/>
                <w:sz w:val="14"/>
              </w:rPr>
              <w:t xml:space="preserve">4.81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13.75</w:t>
            </w:r>
          </w:p>
        </w:tc>
        <w:tc>
          <w:tcPr>
            <w:tcW w:w="1060" w:type="dxa"/>
            <w:tcBorders/>
            <w:vAlign w:val="center"/>
          </w:tcPr>
          <w:p>
            <w:pPr>
              <w:jc w:val="right"/>
            </w:pPr>
            <w:r>
              <w:rPr>
                <w:rFonts w:ascii="宋体" w:eastAsia="宋体" w:hAnsi="宋体" w:cs="宋体"/>
                <w:b w:val="0"/>
                <w:i w:val="0"/>
                <w:color w:val="000000"/>
                <w:sz w:val="14"/>
              </w:rPr>
              <w:t xml:space="preserve">13.75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13.75</w:t>
            </w:r>
          </w:p>
        </w:tc>
        <w:tc>
          <w:tcPr>
            <w:tcW w:w="1060" w:type="dxa"/>
            <w:tcBorders/>
            <w:vAlign w:val="center"/>
          </w:tcPr>
          <w:p>
            <w:pPr>
              <w:jc w:val="right"/>
            </w:pPr>
            <w:r>
              <w:rPr>
                <w:rFonts w:ascii="宋体" w:eastAsia="宋体" w:hAnsi="宋体" w:cs="宋体"/>
                <w:b w:val="0"/>
                <w:i w:val="0"/>
                <w:color w:val="000000"/>
                <w:sz w:val="14"/>
              </w:rPr>
              <w:t xml:space="preserve">13.75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13.75</w:t>
            </w:r>
          </w:p>
        </w:tc>
        <w:tc>
          <w:tcPr>
            <w:tcW w:w="1060" w:type="dxa"/>
            <w:tcBorders/>
            <w:vAlign w:val="center"/>
          </w:tcPr>
          <w:p>
            <w:pPr>
              <w:jc w:val="right"/>
            </w:pPr>
            <w:r>
              <w:rPr>
                <w:rFonts w:ascii="宋体" w:eastAsia="宋体" w:hAnsi="宋体" w:cs="宋体"/>
                <w:b w:val="0"/>
                <w:i w:val="0"/>
                <w:color w:val="000000"/>
                <w:sz w:val="14"/>
              </w:rPr>
              <w:t xml:space="preserve">13.75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部门：辽宁省沈阳市浑南区直属机关工作委员会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140.37</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99.83</w:t>
            </w:r>
          </w:p>
        </w:tc>
        <w:tc>
          <w:tcPr>
            <w:tcW w:w="1100" w:type="dxa"/>
            <w:tcBorders/>
            <w:vAlign w:val="center"/>
          </w:tcPr>
          <w:p>
            <w:pPr>
              <w:jc w:val="right"/>
            </w:pPr>
            <w:r>
              <w:rPr>
                <w:rFonts w:ascii="宋体" w:eastAsia="宋体" w:hAnsi="宋体" w:cs="宋体"/>
                <w:b w:val="0"/>
                <w:i w:val="0"/>
                <w:color w:val="000000"/>
                <w:sz w:val="14"/>
              </w:rPr>
              <w:t xml:space="preserve">99.83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21.98</w:t>
            </w:r>
          </w:p>
        </w:tc>
        <w:tc>
          <w:tcPr>
            <w:tcW w:w="1100" w:type="dxa"/>
            <w:tcBorders/>
            <w:vAlign w:val="center"/>
          </w:tcPr>
          <w:p>
            <w:pPr>
              <w:jc w:val="right"/>
            </w:pPr>
            <w:r>
              <w:rPr>
                <w:rFonts w:ascii="宋体" w:eastAsia="宋体" w:hAnsi="宋体" w:cs="宋体"/>
                <w:b w:val="0"/>
                <w:i w:val="0"/>
                <w:color w:val="000000"/>
                <w:sz w:val="14"/>
              </w:rPr>
              <w:t xml:space="preserve">21.98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4.81</w:t>
            </w:r>
          </w:p>
        </w:tc>
        <w:tc>
          <w:tcPr>
            <w:tcW w:w="1100" w:type="dxa"/>
            <w:tcBorders/>
            <w:vAlign w:val="center"/>
          </w:tcPr>
          <w:p>
            <w:pPr>
              <w:jc w:val="right"/>
            </w:pPr>
            <w:r>
              <w:rPr>
                <w:rFonts w:ascii="宋体" w:eastAsia="宋体" w:hAnsi="宋体" w:cs="宋体"/>
                <w:b w:val="0"/>
                <w:i w:val="0"/>
                <w:color w:val="000000"/>
                <w:sz w:val="14"/>
              </w:rPr>
              <w:t xml:space="preserve">4.81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13.75</w:t>
            </w:r>
          </w:p>
        </w:tc>
        <w:tc>
          <w:tcPr>
            <w:tcW w:w="1100" w:type="dxa"/>
            <w:tcBorders/>
            <w:vAlign w:val="center"/>
          </w:tcPr>
          <w:p>
            <w:pPr>
              <w:jc w:val="right"/>
            </w:pPr>
            <w:r>
              <w:rPr>
                <w:rFonts w:ascii="宋体" w:eastAsia="宋体" w:hAnsi="宋体" w:cs="宋体"/>
                <w:b w:val="0"/>
                <w:i w:val="0"/>
                <w:color w:val="000000"/>
                <w:sz w:val="14"/>
              </w:rPr>
              <w:t xml:space="preserve">13.75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140.37</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140.37</w:t>
            </w:r>
          </w:p>
        </w:tc>
        <w:tc>
          <w:tcPr>
            <w:tcW w:w="1100" w:type="dxa"/>
            <w:tcBorders/>
            <w:vAlign w:val="center"/>
          </w:tcPr>
          <w:p>
            <w:pPr>
              <w:jc w:val="right"/>
            </w:pPr>
            <w:r>
              <w:rPr>
                <w:rFonts w:ascii="宋体" w:eastAsia="宋体" w:hAnsi="宋体" w:cs="宋体"/>
                <w:b w:val="0"/>
                <w:i w:val="0"/>
                <w:color w:val="000000"/>
                <w:sz w:val="14"/>
              </w:rPr>
              <w:t xml:space="preserve">140.37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140.37</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140.37</w:t>
            </w:r>
          </w:p>
        </w:tc>
        <w:tc>
          <w:tcPr>
            <w:tcW w:w="1100" w:type="dxa"/>
            <w:tcBorders/>
            <w:vAlign w:val="center"/>
          </w:tcPr>
          <w:p>
            <w:pPr>
              <w:jc w:val="right"/>
            </w:pPr>
            <w:r>
              <w:rPr>
                <w:rFonts w:ascii="宋体" w:eastAsia="宋体" w:hAnsi="宋体" w:cs="宋体"/>
                <w:b w:val="0"/>
                <w:i w:val="0"/>
                <w:color w:val="000000"/>
                <w:sz w:val="14"/>
              </w:rPr>
              <w:t xml:space="preserve">140.37</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部门：辽宁省沈阳市浑南区直属机关工作委员会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140.37</w:t>
            </w:r>
          </w:p>
        </w:tc>
        <w:tc>
          <w:tcPr>
            <w:tcW w:w="1780" w:type="dxa"/>
            <w:tcBorders/>
            <w:vAlign w:val="center"/>
          </w:tcPr>
          <w:p>
            <w:pPr>
              <w:jc w:val="right"/>
            </w:pPr>
            <w:r>
              <w:rPr>
                <w:rFonts w:ascii="宋体" w:eastAsia="宋体" w:hAnsi="宋体" w:cs="宋体"/>
                <w:b/>
                <w:i w:val="0"/>
                <w:color w:val="000000"/>
                <w:sz w:val="18"/>
              </w:rPr>
              <w:t xml:space="preserve">137.34</w:t>
            </w:r>
          </w:p>
        </w:tc>
        <w:tc>
          <w:tcPr>
            <w:tcW w:w="1772" w:type="dxa"/>
            <w:tcBorders/>
            <w:vAlign w:val="center"/>
          </w:tcPr>
          <w:p>
            <w:pPr>
              <w:jc w:val="right"/>
            </w:pPr>
            <w:r>
              <w:rPr>
                <w:rFonts w:ascii="宋体" w:eastAsia="宋体" w:hAnsi="宋体" w:cs="宋体"/>
                <w:b/>
                <w:i w:val="0"/>
                <w:color w:val="000000"/>
                <w:sz w:val="18"/>
              </w:rPr>
              <w:t xml:space="preserve">3.03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99.83</w:t>
            </w:r>
          </w:p>
        </w:tc>
        <w:tc>
          <w:tcPr>
            <w:tcW w:w="1780" w:type="dxa"/>
            <w:tcBorders/>
            <w:vAlign w:val="center"/>
          </w:tcPr>
          <w:p>
            <w:pPr>
              <w:jc w:val="right"/>
            </w:pPr>
            <w:r>
              <w:rPr>
                <w:rFonts w:ascii="宋体" w:eastAsia="宋体" w:hAnsi="宋体" w:cs="宋体"/>
                <w:b w:val="0"/>
                <w:i w:val="0"/>
                <w:color w:val="000000"/>
                <w:sz w:val="18"/>
              </w:rPr>
              <w:t xml:space="preserve">96.80</w:t>
            </w:r>
          </w:p>
        </w:tc>
        <w:tc>
          <w:tcPr>
            <w:tcW w:w="1772" w:type="dxa"/>
            <w:tcBorders/>
            <w:vAlign w:val="center"/>
          </w:tcPr>
          <w:p>
            <w:pPr>
              <w:jc w:val="right"/>
            </w:pPr>
            <w:r>
              <w:rPr>
                <w:rFonts w:ascii="宋体" w:eastAsia="宋体" w:hAnsi="宋体" w:cs="宋体"/>
                <w:b w:val="0"/>
                <w:i w:val="0"/>
                <w:color w:val="000000"/>
                <w:sz w:val="18"/>
              </w:rPr>
              <w:t xml:space="preserve">3.03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20129</w:t>
            </w:r>
          </w:p>
        </w:tc>
        <w:tc>
          <w:tcPr>
            <w:tcW w:w="4300" w:type="dxa"/>
            <w:tcBorders/>
            <w:vAlign w:val="center"/>
          </w:tcPr>
          <w:p>
            <w:pPr>
              <w:jc w:val="left"/>
            </w:pPr>
            <w:r>
              <w:rPr>
                <w:rFonts w:ascii="宋体" w:eastAsia="宋体" w:hAnsi="宋体" w:cs="宋体"/>
                <w:b w:val="0"/>
                <w:i w:val="0"/>
                <w:color w:val="000000"/>
                <w:sz w:val="18"/>
              </w:rPr>
              <w:t xml:space="preserve">群众团体事务</w:t>
            </w:r>
          </w:p>
        </w:tc>
        <w:tc>
          <w:tcPr>
            <w:tcW w:w="1780" w:type="dxa"/>
            <w:tcBorders/>
            <w:vAlign w:val="center"/>
          </w:tcPr>
          <w:p>
            <w:pPr>
              <w:jc w:val="right"/>
            </w:pPr>
            <w:r>
              <w:rPr>
                <w:rFonts w:ascii="宋体" w:eastAsia="宋体" w:hAnsi="宋体" w:cs="宋体"/>
                <w:b w:val="0"/>
                <w:i w:val="0"/>
                <w:color w:val="000000"/>
                <w:sz w:val="18"/>
              </w:rPr>
              <w:t xml:space="preserve">99.83</w:t>
            </w:r>
          </w:p>
        </w:tc>
        <w:tc>
          <w:tcPr>
            <w:tcW w:w="1780" w:type="dxa"/>
            <w:tcBorders/>
            <w:vAlign w:val="center"/>
          </w:tcPr>
          <w:p>
            <w:pPr>
              <w:jc w:val="right"/>
            </w:pPr>
            <w:r>
              <w:rPr>
                <w:rFonts w:ascii="宋体" w:eastAsia="宋体" w:hAnsi="宋体" w:cs="宋体"/>
                <w:b w:val="0"/>
                <w:i w:val="0"/>
                <w:color w:val="000000"/>
                <w:sz w:val="18"/>
              </w:rPr>
              <w:t xml:space="preserve">96.80</w:t>
            </w:r>
          </w:p>
        </w:tc>
        <w:tc>
          <w:tcPr>
            <w:tcW w:w="1772" w:type="dxa"/>
            <w:tcBorders/>
            <w:vAlign w:val="center"/>
          </w:tcPr>
          <w:p>
            <w:pPr>
              <w:jc w:val="right"/>
            </w:pPr>
            <w:r>
              <w:rPr>
                <w:rFonts w:ascii="宋体" w:eastAsia="宋体" w:hAnsi="宋体" w:cs="宋体"/>
                <w:b w:val="0"/>
                <w:i w:val="0"/>
                <w:color w:val="000000"/>
                <w:sz w:val="18"/>
              </w:rPr>
              <w:t xml:space="preserve">3.03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2012901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96.80</w:t>
            </w:r>
          </w:p>
        </w:tc>
        <w:tc>
          <w:tcPr>
            <w:tcW w:w="1780" w:type="dxa"/>
            <w:tcBorders/>
            <w:vAlign w:val="center"/>
          </w:tcPr>
          <w:p>
            <w:pPr>
              <w:jc w:val="right"/>
            </w:pPr>
            <w:r>
              <w:rPr>
                <w:rFonts w:ascii="宋体" w:eastAsia="宋体" w:hAnsi="宋体" w:cs="宋体"/>
                <w:b w:val="0"/>
                <w:i w:val="0"/>
                <w:color w:val="000000"/>
                <w:sz w:val="18"/>
              </w:rPr>
              <w:t xml:space="preserve">96.80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2012902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3.03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21.97</w:t>
            </w:r>
          </w:p>
        </w:tc>
        <w:tc>
          <w:tcPr>
            <w:tcW w:w="1780" w:type="dxa"/>
            <w:tcBorders/>
            <w:vAlign w:val="center"/>
          </w:tcPr>
          <w:p>
            <w:pPr>
              <w:jc w:val="right"/>
            </w:pPr>
            <w:r>
              <w:rPr>
                <w:rFonts w:ascii="宋体" w:eastAsia="宋体" w:hAnsi="宋体" w:cs="宋体"/>
                <w:b w:val="0"/>
                <w:i w:val="0"/>
                <w:color w:val="000000"/>
                <w:sz w:val="18"/>
              </w:rPr>
              <w:t xml:space="preserve">21.97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21.97</w:t>
            </w:r>
          </w:p>
        </w:tc>
        <w:tc>
          <w:tcPr>
            <w:tcW w:w="1780" w:type="dxa"/>
            <w:tcBorders/>
            <w:vAlign w:val="center"/>
          </w:tcPr>
          <w:p>
            <w:pPr>
              <w:jc w:val="right"/>
            </w:pPr>
            <w:r>
              <w:rPr>
                <w:rFonts w:ascii="宋体" w:eastAsia="宋体" w:hAnsi="宋体" w:cs="宋体"/>
                <w:b w:val="0"/>
                <w:i w:val="0"/>
                <w:color w:val="000000"/>
                <w:sz w:val="18"/>
              </w:rPr>
              <w:t xml:space="preserve">21.97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2.18</w:t>
            </w:r>
          </w:p>
        </w:tc>
        <w:tc>
          <w:tcPr>
            <w:tcW w:w="1780" w:type="dxa"/>
            <w:tcBorders/>
            <w:vAlign w:val="center"/>
          </w:tcPr>
          <w:p>
            <w:pPr>
              <w:jc w:val="right"/>
            </w:pPr>
            <w:r>
              <w:rPr>
                <w:rFonts w:ascii="宋体" w:eastAsia="宋体" w:hAnsi="宋体" w:cs="宋体"/>
                <w:b w:val="0"/>
                <w:i w:val="0"/>
                <w:color w:val="000000"/>
                <w:sz w:val="18"/>
              </w:rPr>
              <w:t xml:space="preserve">2.18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12.25</w:t>
            </w:r>
          </w:p>
        </w:tc>
        <w:tc>
          <w:tcPr>
            <w:tcW w:w="1780" w:type="dxa"/>
            <w:tcBorders/>
            <w:vAlign w:val="center"/>
          </w:tcPr>
          <w:p>
            <w:pPr>
              <w:jc w:val="right"/>
            </w:pPr>
            <w:r>
              <w:rPr>
                <w:rFonts w:ascii="宋体" w:eastAsia="宋体" w:hAnsi="宋体" w:cs="宋体"/>
                <w:b w:val="0"/>
                <w:i w:val="0"/>
                <w:color w:val="000000"/>
                <w:sz w:val="18"/>
              </w:rPr>
              <w:t xml:space="preserve">12.25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7.54</w:t>
            </w:r>
          </w:p>
        </w:tc>
        <w:tc>
          <w:tcPr>
            <w:tcW w:w="1780" w:type="dxa"/>
            <w:tcBorders/>
            <w:vAlign w:val="center"/>
          </w:tcPr>
          <w:p>
            <w:pPr>
              <w:jc w:val="right"/>
            </w:pPr>
            <w:r>
              <w:rPr>
                <w:rFonts w:ascii="宋体" w:eastAsia="宋体" w:hAnsi="宋体" w:cs="宋体"/>
                <w:b w:val="0"/>
                <w:i w:val="0"/>
                <w:color w:val="000000"/>
                <w:sz w:val="18"/>
              </w:rPr>
              <w:t xml:space="preserve">7.54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4.81</w:t>
            </w:r>
          </w:p>
        </w:tc>
        <w:tc>
          <w:tcPr>
            <w:tcW w:w="1780" w:type="dxa"/>
            <w:tcBorders/>
            <w:vAlign w:val="center"/>
          </w:tcPr>
          <w:p>
            <w:pPr>
              <w:jc w:val="right"/>
            </w:pPr>
            <w:r>
              <w:rPr>
                <w:rFonts w:ascii="宋体" w:eastAsia="宋体" w:hAnsi="宋体" w:cs="宋体"/>
                <w:b w:val="0"/>
                <w:i w:val="0"/>
                <w:color w:val="000000"/>
                <w:sz w:val="18"/>
              </w:rPr>
              <w:t xml:space="preserve">4.81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4.81</w:t>
            </w:r>
          </w:p>
        </w:tc>
        <w:tc>
          <w:tcPr>
            <w:tcW w:w="1780" w:type="dxa"/>
            <w:tcBorders/>
            <w:vAlign w:val="center"/>
          </w:tcPr>
          <w:p>
            <w:pPr>
              <w:jc w:val="right"/>
            </w:pPr>
            <w:r>
              <w:rPr>
                <w:rFonts w:ascii="宋体" w:eastAsia="宋体" w:hAnsi="宋体" w:cs="宋体"/>
                <w:b w:val="0"/>
                <w:i w:val="0"/>
                <w:color w:val="000000"/>
                <w:sz w:val="18"/>
              </w:rPr>
              <w:t xml:space="preserve">4.81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4.81</w:t>
            </w:r>
          </w:p>
        </w:tc>
        <w:tc>
          <w:tcPr>
            <w:tcW w:w="1780" w:type="dxa"/>
            <w:tcBorders/>
            <w:vAlign w:val="center"/>
          </w:tcPr>
          <w:p>
            <w:pPr>
              <w:jc w:val="right"/>
            </w:pPr>
            <w:r>
              <w:rPr>
                <w:rFonts w:ascii="宋体" w:eastAsia="宋体" w:hAnsi="宋体" w:cs="宋体"/>
                <w:b w:val="0"/>
                <w:i w:val="0"/>
                <w:color w:val="000000"/>
                <w:sz w:val="18"/>
              </w:rPr>
              <w:t xml:space="preserve">4.81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13.75</w:t>
            </w:r>
          </w:p>
        </w:tc>
        <w:tc>
          <w:tcPr>
            <w:tcW w:w="1780" w:type="dxa"/>
            <w:tcBorders/>
            <w:vAlign w:val="center"/>
          </w:tcPr>
          <w:p>
            <w:pPr>
              <w:jc w:val="right"/>
            </w:pPr>
            <w:r>
              <w:rPr>
                <w:rFonts w:ascii="宋体" w:eastAsia="宋体" w:hAnsi="宋体" w:cs="宋体"/>
                <w:b w:val="0"/>
                <w:i w:val="0"/>
                <w:color w:val="000000"/>
                <w:sz w:val="18"/>
              </w:rPr>
              <w:t xml:space="preserve">13.75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13.75</w:t>
            </w:r>
          </w:p>
        </w:tc>
        <w:tc>
          <w:tcPr>
            <w:tcW w:w="1780" w:type="dxa"/>
            <w:tcBorders/>
            <w:vAlign w:val="center"/>
          </w:tcPr>
          <w:p>
            <w:pPr>
              <w:jc w:val="right"/>
            </w:pPr>
            <w:r>
              <w:rPr>
                <w:rFonts w:ascii="宋体" w:eastAsia="宋体" w:hAnsi="宋体" w:cs="宋体"/>
                <w:b w:val="0"/>
                <w:i w:val="0"/>
                <w:color w:val="000000"/>
                <w:sz w:val="18"/>
              </w:rPr>
              <w:t xml:space="preserve">13.75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13.75</w:t>
            </w:r>
          </w:p>
        </w:tc>
        <w:tc>
          <w:tcPr>
            <w:tcW w:w="1780" w:type="dxa"/>
            <w:tcBorders/>
            <w:vAlign w:val="center"/>
          </w:tcPr>
          <w:p>
            <w:pPr>
              <w:jc w:val="right"/>
            </w:pPr>
            <w:r>
              <w:rPr>
                <w:rFonts w:ascii="宋体" w:eastAsia="宋体" w:hAnsi="宋体" w:cs="宋体"/>
                <w:b w:val="0"/>
                <w:i w:val="0"/>
                <w:color w:val="000000"/>
                <w:sz w:val="18"/>
              </w:rPr>
              <w:t xml:space="preserve">13.75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部门：辽宁省沈阳市浑南区直属机关工作委员会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122.13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13.03</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32.81</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1.41</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20.44</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27.38</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2.84</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12.25</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7.54</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4.54</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4.81</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0.31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0.07</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13.75</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2.18</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2.18</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0.71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6.31</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124.31</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13.03</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部门：辽宁省沈阳市浑南区直属机关工作委员会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部门：辽宁省沈阳市浑南区直属机关工作委员会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部门：辽宁省沈阳市浑南区直属机关工作委员会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党建活动经费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沈阳市浑南区直属机关工作委员会-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沈阳市浑南区直属机关工作委员会本级-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评审表彰会议次数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学术交流、理论研究完成率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沈阳市浑南区直属机关工作委员会-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沈阳市浑南区直属机关工作委员会本级-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74.54%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8.45371179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沈阳市浑南区直属机关工作委员会-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沈阳市浑南区直属机关工作委员会本级-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97.48%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补助贫困残疾人家庭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残疾人健身周宣传覆盖率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建档立卡贫困残疾人补助覆盖市，未脱贫比例率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残疾人参与活动人数增长率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救助政策残疾人群知晓率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历史档案整理费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沈阳市浑南区直属机关工作委员会-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沈阳市浑南区直属机关工作委员会本级-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在岗能力提升培训人数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职业教育信息化项目建设完成率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会员参加学术交流活动参与率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招募计划完成率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促进贸易便利化效果提升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树立辽宁文化品牌形象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主题活动经费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沈阳市浑南区直属机关工作委员会-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沈阳市浑南区直属机关工作委员会本级-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在岗能力提升培训人数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会员参加学术交流活动参与率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012001沈阳市浑南区直属机关工作委员会本级-210112000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167.23</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167.23</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30.97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30.96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根据区委区政府要求，开展多项机关文体活动，达到提高机关党员干部的凝聚力等目的。</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有利于促进社会主义精神文明建设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参加培训人员的满意度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社会民众满意度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完善部门内部控制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