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中国人民政治协商会议辽宁省沈阳市浑南区委员会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中国人民政治协商会议辽宁省沈阳市浑南区委员会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中国人民政治协商会议辽宁省沈阳市浑南区委员会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中国人民政治协商会议辽宁省沈阳市浑南区委员会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中国人民政治协商会议辽宁省沈阳市浑南区委员会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中国人民政治协商会议辽宁省沈阳市浑南区委员会概况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中国人民政治协商会议是中国人民爱国统一战线的组织，是中国共产党领导的多党合作和政治协商的重要机构，是我国政治生活中发扬社会主义民主的重要形式，浑南区政协是中国人民政治协商会议地方委员会，</w:t>
        <w:br/>
        <w:t xml:space="preserve">    浑南区政协的主要职能是政治协商、民主监督、参政议政。政治协商是对国家和地方的大政方针以及政治、经济、文化和社会生活中的重要问题在决策之前进行协商和就决策执行过程中的重要问题进行协商。中国人民政治协商会议全国委员会和地方委员会可根据中国共产党、人民代表大会常务委员会、人民政府、民主党派、人民团体的提议，举行有各党派、团体的负责人和各族各界人士的代表参加的会议，进行协商，亦可建议上列单位将有关重要问题提交协商。民主监督是对国家宪法、法律和法规的实施，重大方针政策的贯彻执行、国家机关及其工作人员的工作，通过建议和批评进行监督。参政议政是对政治、经济、文化和社会生活中的重要问题以及人民群众普遍关心的问题，开展调查研究，反映社情民意，进行协商讨论。通过调研报告、提案、建议案或其他形式，向中国共产党和国家机关提出意见和建议。</w:t>
        <w:br/>
        <w:t xml:space="preserve">    中国人民政治协商会议全国委员会和地方委员会贯彻依法治国方略，宣传和执行国家的宪法、法律、法规和各项方针、政策，推动社会力量积极参加社会主义物质文明、政治文明和精神文明的建设事业。</w:t>
        <w:br/>
        <w:t xml:space="preserve">    中国人民政治协商会议全国委员会和地方委员会坚持公有制为主体、多种所有制经济共同发展的基本经济制度。巩固和发展公有制经济，鼓励、支持和引导非公有制经济发展。坚持按劳分配为主体、多种分配方式并存的分配制度。促进社会生产力的解放和发展。</w:t>
        <w:br/>
        <w:t xml:space="preserve">    中国人民政治协商会议全国委员会和地方委员会密切联系各方面人士，反映他们及其所联系的群众的意见和要求，对国家机关和国家工作人员的工作提出建议和批评，协助国家机关进行机构改革和体制改革，改进工作，提高工作效率，克服官僚主义，加强廉政建设。</w:t>
        <w:br/>
        <w:t xml:space="preserve">    中国人民政治协商会议全国委员会和地方委员会调整和处理统一战线各方面的关系和中国人民政治协商会议内部合作的重要事项。</w:t>
        <w:br/>
        <w:t xml:space="preserve">    中国人民政治协商会议全国委员会和地方委员会通过各种形式，积极传播先进文化，弘扬和培育民族精神，开展爱祖国、爱人民、爱劳动、爱科学、爱社会主义的公德以及革命的理想、道德和纪律的宣传教育工作。</w:t>
        <w:br/>
        <w:t xml:space="preserve">    中国人民政治协商会议全国委员会和地方委员会坚持发展科学、繁荣文化的“百花齐放、百家争鸣”的方针，密切联系国家机关和其他有关组织，在政治、法律、经济、教育、科学技术、文化艺术、医药卫生、体育等方面开展调查研究等活动，广开言路，广开才路，充分发挥委员的专长和作用。</w:t>
        <w:br/>
        <w:t xml:space="preserve">    中国人民政治协商会议全国委员会和地方委员会推动和协助社会力量兴办各种有利于社会主义建设的事业。</w:t>
        <w:br/>
        <w:t xml:space="preserve">    中国人民政治协商会议全国委员会和地方委员会组织委员视察、参观和调查，了解情况，就各项事业和群众生活的重要问题进行研究，通过建议案、提案和其他形式向国家机关和其他有关组织提出建议和批评。</w:t>
        <w:br/>
        <w:t xml:space="preserve">    中国人民政治协商会议全国委员会和地方委员会组织和推动委员在自愿的基础上学习马克思列宁主义、毛泽东思想、邓小平理论和“三个代表”重要思想，学习时事政治，学习和交流业务和科学技术知识，增强为祖国服务的才能。</w:t>
        <w:br/>
        <w:t xml:space="preserve">    中国人民政治协商会议全国委员会和地方委员会宣传和参与贯彻执行国家关于统一祖国的方针政策，积极开展同台湾同胞和各界人士的联系，促进祖国统一大业的实现。</w:t>
        <w:br/>
        <w:t xml:space="preserve">    加强同香港特别行政区同胞、澳门特别行政区同胞的联系和团结，鼓励他们为保持港澳地区的繁荣和稳定，为建设祖国和统一祖国作出贡献。</w:t>
        <w:br/>
        <w:t xml:space="preserve">    中国人民政治协商会议全国委员会和地方委员会宣传和协助贯彻执行国家的人才强国战略和知识分子政策，尊重劳动、尊重知识、尊重人才、尊重创造，以利于充分发挥各类人才和知识分子在社会主义现代化建设中的作用。</w:t>
        <w:br/>
        <w:t xml:space="preserve">    中国人民政治协商会议全国委员会和地方委员会宣传和协助贯彻执行国家的民族政策，反映少数民族的意见和要求，为发展少数民族地区的经济、文化，维护少数民族的合法权利和利益，坚持和完善民族区域自治制度，巩固和发展平等团结互助的社会主义民族关系，促进各民族共同繁荣进步，增进各族人民的大团结和维护祖国的统一贡献力量。</w:t>
        <w:br/>
        <w:t xml:space="preserve">    中国人民政治协商会议全国委员会和地方委员会宣传和协助贯彻执行国家的宗教信仰自由政策，支持政府依法管理宗教事务，坚持独立自主自办的原则，积极引导宗教与社会主义社会相适应，团结宗教界爱国人士和宗教信仰者为祖国的建设和统一贡献力量。</w:t>
        <w:br/>
        <w:t xml:space="preserve">    中国人民政治协商会议全国委员会和地方委员会宣传和协助贯彻执行国家的侨务政策，加强同归侨、侨眷和海外侨胞的联系和团结，鼓励他们为祖国的建设事业和统一祖国的大业作出贡献。</w:t>
        <w:br/>
        <w:t xml:space="preserve">    中国人民政治协商会议全国委员会和地方委员会宣传和协助贯彻执行国家的外交政策，根据具体情况，积极主动地开展人民外交活动，加强同各国人民的友好往来和合作。</w:t>
        <w:br/>
        <w:t xml:space="preserve">    中国人民政治协商会议全国委员会和地方委员会根据统一战线组织的特点进行关于中国近代史、现代史资料的征集、研究和出版工作。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中国人民政治协商会议辽宁省沈阳市浑南区委员会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中国人民政治协商会议辽宁省沈阳市浑南区委员会，本单位无下设机构。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460.51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460.51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460.51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减少152.79万元，降低24.91%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项目和人员经费减少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460.51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387.67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84.18</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工资福利支出337.66万元；商品和服务支出42.83万元；对个人和家庭的补助7.18万元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72.85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15.82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主要包括协事务、委员视察等业务支出。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减少152.79万元，降低24.91%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项目和人员支出减少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460.51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387.67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72.85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减少152.79万元，降低24.91%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项目和人员经费支出减少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69.83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84.35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36.45</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2024年度一般公共预算财政拨款支出460.51万元。按支出功能分类科目分，包括：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1.一般公共服务支出361.65万元，具体包括：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（1）一般公共服务支出（类）政协事务（款）行政运行（项）288.95万元,主要是行政运行等支出，完成年初预算的82.2%，决算数与年初预算数存在差异的主要原因是人员经费支出减少。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（2）一般公共服务支出（类）政协事务（款）一般行政管理事务（项）10.13万元,主要是行政管理事务等支出，完成年初预算的68%，决算数与年初预算数存在差异的主要原因是实际支出减少。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（3）一般公共服务支出（类）政协事务（款）委员视察（项）62.57万元,主要是委员活动经费等支出，完成年初预算的86.9%，决算数与年初预算数存在差异的主要原因是缩减开支。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2.教育支出0.15万元，具体包括：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（1）教育支出（类）进修及培训（款）培训支出（项）0.15万元,主要是培训费等支出，完成年初预算的0.4%，决算数与年初预算数存在差异的主要原因是缩减开支。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3.社会保障和就业支出49.34万元，具体包括：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（1）社会保障和就业支出（类）行政事业单位养老支出（款）行政单位离退休（项）7.18万元,主要是退休采暖费等支出，完成年初预算的100%，决算数与年初预算数存在差异的主要原因是完全按照预算安排。</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35.79万元,主要是养老保险等支出，完成年初预算的91.53%，决算数与年初预算数存在差异的主要原因是完全按照预算安排，决算与预算基本持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6.37万元,主要是退休年金单位部分补缴等支出，完成年初预算的100%，决算数与年初预算数存在差异的主要原因是根据实际发生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4.卫生健康支出9.33万元，具体包括：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（1）卫生健康支出（类）行政事业单位医疗（款）行政单位医疗（项）9.33万元,主要是医疗保险等支出，完成年初预算的93%，决算数与年初预算数存在差异的主要原因是完全按照预算安排，决算与预算基本持平。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5.住房保障支出40.05万元，具体包括：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（1）住房保障支出（类）住房改革支出（款）住房公积金（项）40.05万元,主要是公积金等支出，完成年初预算的83%，决算数与年初预算数存在差异的主要原因是有高比例调出人员。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没有该项预算和支出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没有该项预算和支出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没有该项预算和支出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没有该项预算和支出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没有该项预算和支出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没有该项预算和支出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没有该项预算和支出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387.67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344.84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42.83</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42.83</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比上年增加3.42万元，增长8.68%</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具体而言，本年度我部门共组织对7个项目实施了绩效评价。从预算资金来源看，涉及一般公共预算的项目7个，涉及政府性基金预算的项目0个，涉及国有资本经营预算的项目0个。</w:t>
        <w:br/>
        <w:t xml:space="preserve">    上述评价工作共涉及财政资金659.45万元。其中，一般公共预算资金659.45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2个；得分在60分（含）至80分、等级为“中”的项目有1；得分在60分以下、等级为“差”的项目有3个。各项目自评发现，部分项目存在预算执行进度偏慢、个别效益指标未能完全达成问题，已要求相关项目单位分析原因并制定改进措施。</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部门：中国人民政治协商会议辽宁省沈阳市浑南区委员会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460.51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361.65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0.15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49.34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9.33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40.05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460.51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460.51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460.51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460.51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部门：中国人民政治协商会议辽宁省沈阳市浑南区委员会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460.51</w:t>
            </w:r>
          </w:p>
        </w:tc>
        <w:tc>
          <w:tcPr>
            <w:tcW w:w="960" w:type="dxa"/>
            <w:tcBorders/>
            <w:vAlign w:val="center"/>
          </w:tcPr>
          <w:p>
            <w:pPr>
              <w:jc w:val="right"/>
            </w:pPr>
            <w:r>
              <w:rPr>
                <w:rFonts w:ascii="宋体" w:eastAsia="宋体" w:hAnsi="宋体" w:cs="宋体"/>
                <w:b/>
                <w:i w:val="0"/>
                <w:color w:val="000000"/>
                <w:sz w:val="13"/>
              </w:rPr>
              <w:t xml:space="preserve">460.51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361.65</w:t>
            </w:r>
          </w:p>
        </w:tc>
        <w:tc>
          <w:tcPr>
            <w:tcW w:w="960" w:type="dxa"/>
            <w:tcBorders/>
            <w:vAlign w:val="center"/>
          </w:tcPr>
          <w:p>
            <w:pPr>
              <w:jc w:val="right"/>
            </w:pPr>
            <w:r>
              <w:rPr>
                <w:rFonts w:ascii="宋体" w:eastAsia="宋体" w:hAnsi="宋体" w:cs="宋体"/>
                <w:b w:val="0"/>
                <w:i w:val="0"/>
                <w:color w:val="000000"/>
                <w:sz w:val="13"/>
              </w:rPr>
              <w:t xml:space="preserve">361.65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20102</w:t>
            </w:r>
          </w:p>
        </w:tc>
        <w:tc>
          <w:tcPr>
            <w:tcW w:w="3200" w:type="dxa"/>
            <w:tcBorders/>
            <w:vAlign w:val="center"/>
          </w:tcPr>
          <w:p>
            <w:pPr>
              <w:jc w:val="left"/>
            </w:pPr>
            <w:r>
              <w:rPr>
                <w:rFonts w:ascii="宋体" w:eastAsia="宋体" w:hAnsi="宋体" w:cs="宋体"/>
                <w:b w:val="0"/>
                <w:i w:val="0"/>
                <w:color w:val="000000"/>
                <w:sz w:val="13"/>
              </w:rPr>
              <w:t xml:space="preserve">政协事务</w:t>
            </w:r>
          </w:p>
        </w:tc>
        <w:tc>
          <w:tcPr>
            <w:tcW w:w="960" w:type="dxa"/>
            <w:tcBorders/>
            <w:vAlign w:val="center"/>
          </w:tcPr>
          <w:p>
            <w:pPr>
              <w:jc w:val="right"/>
            </w:pPr>
            <w:r>
              <w:rPr>
                <w:rFonts w:ascii="宋体" w:eastAsia="宋体" w:hAnsi="宋体" w:cs="宋体"/>
                <w:b w:val="0"/>
                <w:i w:val="0"/>
                <w:color w:val="000000"/>
                <w:sz w:val="13"/>
              </w:rPr>
              <w:t xml:space="preserve">361.65</w:t>
            </w:r>
          </w:p>
        </w:tc>
        <w:tc>
          <w:tcPr>
            <w:tcW w:w="960" w:type="dxa"/>
            <w:tcBorders/>
            <w:vAlign w:val="center"/>
          </w:tcPr>
          <w:p>
            <w:pPr>
              <w:jc w:val="right"/>
            </w:pPr>
            <w:r>
              <w:rPr>
                <w:rFonts w:ascii="宋体" w:eastAsia="宋体" w:hAnsi="宋体" w:cs="宋体"/>
                <w:b w:val="0"/>
                <w:i w:val="0"/>
                <w:color w:val="000000"/>
                <w:sz w:val="13"/>
              </w:rPr>
              <w:t xml:space="preserve">361.65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2010201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288.95</w:t>
            </w:r>
          </w:p>
        </w:tc>
        <w:tc>
          <w:tcPr>
            <w:tcW w:w="960" w:type="dxa"/>
            <w:tcBorders/>
            <w:vAlign w:val="center"/>
          </w:tcPr>
          <w:p>
            <w:pPr>
              <w:jc w:val="right"/>
            </w:pPr>
            <w:r>
              <w:rPr>
                <w:rFonts w:ascii="宋体" w:eastAsia="宋体" w:hAnsi="宋体" w:cs="宋体"/>
                <w:b w:val="0"/>
                <w:i w:val="0"/>
                <w:color w:val="000000"/>
                <w:sz w:val="13"/>
              </w:rPr>
              <w:t xml:space="preserve">288.95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2010202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10.13</w:t>
            </w:r>
          </w:p>
        </w:tc>
        <w:tc>
          <w:tcPr>
            <w:tcW w:w="960" w:type="dxa"/>
            <w:tcBorders/>
            <w:vAlign w:val="center"/>
          </w:tcPr>
          <w:p>
            <w:pPr>
              <w:jc w:val="right"/>
            </w:pPr>
            <w:r>
              <w:rPr>
                <w:rFonts w:ascii="宋体" w:eastAsia="宋体" w:hAnsi="宋体" w:cs="宋体"/>
                <w:b w:val="0"/>
                <w:i w:val="0"/>
                <w:color w:val="000000"/>
                <w:sz w:val="13"/>
              </w:rPr>
              <w:t xml:space="preserve">10.13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2010205</w:t>
            </w:r>
          </w:p>
        </w:tc>
        <w:tc>
          <w:tcPr>
            <w:tcW w:w="3200" w:type="dxa"/>
            <w:tcBorders/>
            <w:vAlign w:val="center"/>
          </w:tcPr>
          <w:p>
            <w:pPr>
              <w:jc w:val="left"/>
            </w:pPr>
            <w:r>
              <w:rPr>
                <w:rFonts w:ascii="宋体" w:eastAsia="宋体" w:hAnsi="宋体" w:cs="宋体"/>
                <w:b w:val="0"/>
                <w:i w:val="0"/>
                <w:color w:val="000000"/>
                <w:sz w:val="13"/>
              </w:rPr>
              <w:t xml:space="preserve">委员视察</w:t>
            </w:r>
          </w:p>
        </w:tc>
        <w:tc>
          <w:tcPr>
            <w:tcW w:w="960" w:type="dxa"/>
            <w:tcBorders/>
            <w:vAlign w:val="center"/>
          </w:tcPr>
          <w:p>
            <w:pPr>
              <w:jc w:val="right"/>
            </w:pPr>
            <w:r>
              <w:rPr>
                <w:rFonts w:ascii="宋体" w:eastAsia="宋体" w:hAnsi="宋体" w:cs="宋体"/>
                <w:b w:val="0"/>
                <w:i w:val="0"/>
                <w:color w:val="000000"/>
                <w:sz w:val="13"/>
              </w:rPr>
              <w:t xml:space="preserve">62.57</w:t>
            </w:r>
          </w:p>
        </w:tc>
        <w:tc>
          <w:tcPr>
            <w:tcW w:w="960" w:type="dxa"/>
            <w:tcBorders/>
            <w:vAlign w:val="center"/>
          </w:tcPr>
          <w:p>
            <w:pPr>
              <w:jc w:val="right"/>
            </w:pPr>
            <w:r>
              <w:rPr>
                <w:rFonts w:ascii="宋体" w:eastAsia="宋体" w:hAnsi="宋体" w:cs="宋体"/>
                <w:b w:val="0"/>
                <w:i w:val="0"/>
                <w:color w:val="000000"/>
                <w:sz w:val="13"/>
              </w:rPr>
              <w:t xml:space="preserve">62.57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0.15</w:t>
            </w:r>
          </w:p>
        </w:tc>
        <w:tc>
          <w:tcPr>
            <w:tcW w:w="960" w:type="dxa"/>
            <w:tcBorders/>
            <w:vAlign w:val="center"/>
          </w:tcPr>
          <w:p>
            <w:pPr>
              <w:jc w:val="right"/>
            </w:pPr>
            <w:r>
              <w:rPr>
                <w:rFonts w:ascii="宋体" w:eastAsia="宋体" w:hAnsi="宋体" w:cs="宋体"/>
                <w:b w:val="0"/>
                <w:i w:val="0"/>
                <w:color w:val="000000"/>
                <w:sz w:val="13"/>
              </w:rPr>
              <w:t xml:space="preserve">0.15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0.15</w:t>
            </w:r>
          </w:p>
        </w:tc>
        <w:tc>
          <w:tcPr>
            <w:tcW w:w="960" w:type="dxa"/>
            <w:tcBorders/>
            <w:vAlign w:val="center"/>
          </w:tcPr>
          <w:p>
            <w:pPr>
              <w:jc w:val="right"/>
            </w:pPr>
            <w:r>
              <w:rPr>
                <w:rFonts w:ascii="宋体" w:eastAsia="宋体" w:hAnsi="宋体" w:cs="宋体"/>
                <w:b w:val="0"/>
                <w:i w:val="0"/>
                <w:color w:val="000000"/>
                <w:sz w:val="13"/>
              </w:rPr>
              <w:t xml:space="preserve">0.15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0.15</w:t>
            </w:r>
          </w:p>
        </w:tc>
        <w:tc>
          <w:tcPr>
            <w:tcW w:w="960" w:type="dxa"/>
            <w:tcBorders/>
            <w:vAlign w:val="center"/>
          </w:tcPr>
          <w:p>
            <w:pPr>
              <w:jc w:val="right"/>
            </w:pPr>
            <w:r>
              <w:rPr>
                <w:rFonts w:ascii="宋体" w:eastAsia="宋体" w:hAnsi="宋体" w:cs="宋体"/>
                <w:b w:val="0"/>
                <w:i w:val="0"/>
                <w:color w:val="000000"/>
                <w:sz w:val="13"/>
              </w:rPr>
              <w:t xml:space="preserve">0.15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49.34</w:t>
            </w:r>
          </w:p>
        </w:tc>
        <w:tc>
          <w:tcPr>
            <w:tcW w:w="960" w:type="dxa"/>
            <w:tcBorders/>
            <w:vAlign w:val="center"/>
          </w:tcPr>
          <w:p>
            <w:pPr>
              <w:jc w:val="right"/>
            </w:pPr>
            <w:r>
              <w:rPr>
                <w:rFonts w:ascii="宋体" w:eastAsia="宋体" w:hAnsi="宋体" w:cs="宋体"/>
                <w:b w:val="0"/>
                <w:i w:val="0"/>
                <w:color w:val="000000"/>
                <w:sz w:val="13"/>
              </w:rPr>
              <w:t xml:space="preserve">49.34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49.34</w:t>
            </w:r>
          </w:p>
        </w:tc>
        <w:tc>
          <w:tcPr>
            <w:tcW w:w="960" w:type="dxa"/>
            <w:tcBorders/>
            <w:vAlign w:val="center"/>
          </w:tcPr>
          <w:p>
            <w:pPr>
              <w:jc w:val="right"/>
            </w:pPr>
            <w:r>
              <w:rPr>
                <w:rFonts w:ascii="宋体" w:eastAsia="宋体" w:hAnsi="宋体" w:cs="宋体"/>
                <w:b w:val="0"/>
                <w:i w:val="0"/>
                <w:color w:val="000000"/>
                <w:sz w:val="13"/>
              </w:rPr>
              <w:t xml:space="preserve">49.34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7.18</w:t>
            </w:r>
          </w:p>
        </w:tc>
        <w:tc>
          <w:tcPr>
            <w:tcW w:w="960" w:type="dxa"/>
            <w:tcBorders/>
            <w:vAlign w:val="center"/>
          </w:tcPr>
          <w:p>
            <w:pPr>
              <w:jc w:val="right"/>
            </w:pPr>
            <w:r>
              <w:rPr>
                <w:rFonts w:ascii="宋体" w:eastAsia="宋体" w:hAnsi="宋体" w:cs="宋体"/>
                <w:b w:val="0"/>
                <w:i w:val="0"/>
                <w:color w:val="000000"/>
                <w:sz w:val="13"/>
              </w:rPr>
              <w:t xml:space="preserve">7.18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35.79</w:t>
            </w:r>
          </w:p>
        </w:tc>
        <w:tc>
          <w:tcPr>
            <w:tcW w:w="960" w:type="dxa"/>
            <w:tcBorders/>
            <w:vAlign w:val="center"/>
          </w:tcPr>
          <w:p>
            <w:pPr>
              <w:jc w:val="right"/>
            </w:pPr>
            <w:r>
              <w:rPr>
                <w:rFonts w:ascii="宋体" w:eastAsia="宋体" w:hAnsi="宋体" w:cs="宋体"/>
                <w:b w:val="0"/>
                <w:i w:val="0"/>
                <w:color w:val="000000"/>
                <w:sz w:val="13"/>
              </w:rPr>
              <w:t xml:space="preserve">35.79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6.37</w:t>
            </w:r>
          </w:p>
        </w:tc>
        <w:tc>
          <w:tcPr>
            <w:tcW w:w="960" w:type="dxa"/>
            <w:tcBorders/>
            <w:vAlign w:val="center"/>
          </w:tcPr>
          <w:p>
            <w:pPr>
              <w:jc w:val="right"/>
            </w:pPr>
            <w:r>
              <w:rPr>
                <w:rFonts w:ascii="宋体" w:eastAsia="宋体" w:hAnsi="宋体" w:cs="宋体"/>
                <w:b w:val="0"/>
                <w:i w:val="0"/>
                <w:color w:val="000000"/>
                <w:sz w:val="13"/>
              </w:rPr>
              <w:t xml:space="preserve">6.37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9.33</w:t>
            </w:r>
          </w:p>
        </w:tc>
        <w:tc>
          <w:tcPr>
            <w:tcW w:w="960" w:type="dxa"/>
            <w:tcBorders/>
            <w:vAlign w:val="center"/>
          </w:tcPr>
          <w:p>
            <w:pPr>
              <w:jc w:val="right"/>
            </w:pPr>
            <w:r>
              <w:rPr>
                <w:rFonts w:ascii="宋体" w:eastAsia="宋体" w:hAnsi="宋体" w:cs="宋体"/>
                <w:b w:val="0"/>
                <w:i w:val="0"/>
                <w:color w:val="000000"/>
                <w:sz w:val="13"/>
              </w:rPr>
              <w:t xml:space="preserve">9.33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9.33</w:t>
            </w:r>
          </w:p>
        </w:tc>
        <w:tc>
          <w:tcPr>
            <w:tcW w:w="960" w:type="dxa"/>
            <w:tcBorders/>
            <w:vAlign w:val="center"/>
          </w:tcPr>
          <w:p>
            <w:pPr>
              <w:jc w:val="right"/>
            </w:pPr>
            <w:r>
              <w:rPr>
                <w:rFonts w:ascii="宋体" w:eastAsia="宋体" w:hAnsi="宋体" w:cs="宋体"/>
                <w:b w:val="0"/>
                <w:i w:val="0"/>
                <w:color w:val="000000"/>
                <w:sz w:val="13"/>
              </w:rPr>
              <w:t xml:space="preserve">9.33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9.33</w:t>
            </w:r>
          </w:p>
        </w:tc>
        <w:tc>
          <w:tcPr>
            <w:tcW w:w="960" w:type="dxa"/>
            <w:tcBorders/>
            <w:vAlign w:val="center"/>
          </w:tcPr>
          <w:p>
            <w:pPr>
              <w:jc w:val="right"/>
            </w:pPr>
            <w:r>
              <w:rPr>
                <w:rFonts w:ascii="宋体" w:eastAsia="宋体" w:hAnsi="宋体" w:cs="宋体"/>
                <w:b w:val="0"/>
                <w:i w:val="0"/>
                <w:color w:val="000000"/>
                <w:sz w:val="13"/>
              </w:rPr>
              <w:t xml:space="preserve">9.33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40.05</w:t>
            </w:r>
          </w:p>
        </w:tc>
        <w:tc>
          <w:tcPr>
            <w:tcW w:w="960" w:type="dxa"/>
            <w:tcBorders/>
            <w:vAlign w:val="center"/>
          </w:tcPr>
          <w:p>
            <w:pPr>
              <w:jc w:val="right"/>
            </w:pPr>
            <w:r>
              <w:rPr>
                <w:rFonts w:ascii="宋体" w:eastAsia="宋体" w:hAnsi="宋体" w:cs="宋体"/>
                <w:b w:val="0"/>
                <w:i w:val="0"/>
                <w:color w:val="000000"/>
                <w:sz w:val="13"/>
              </w:rPr>
              <w:t xml:space="preserve">40.05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40.05</w:t>
            </w:r>
          </w:p>
        </w:tc>
        <w:tc>
          <w:tcPr>
            <w:tcW w:w="960" w:type="dxa"/>
            <w:tcBorders/>
            <w:vAlign w:val="center"/>
          </w:tcPr>
          <w:p>
            <w:pPr>
              <w:jc w:val="right"/>
            </w:pPr>
            <w:r>
              <w:rPr>
                <w:rFonts w:ascii="宋体" w:eastAsia="宋体" w:hAnsi="宋体" w:cs="宋体"/>
                <w:b w:val="0"/>
                <w:i w:val="0"/>
                <w:color w:val="000000"/>
                <w:sz w:val="13"/>
              </w:rPr>
              <w:t xml:space="preserve">40.05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40.05</w:t>
            </w:r>
          </w:p>
        </w:tc>
        <w:tc>
          <w:tcPr>
            <w:tcW w:w="960" w:type="dxa"/>
            <w:tcBorders/>
            <w:vAlign w:val="center"/>
          </w:tcPr>
          <w:p>
            <w:pPr>
              <w:jc w:val="right"/>
            </w:pPr>
            <w:r>
              <w:rPr>
                <w:rFonts w:ascii="宋体" w:eastAsia="宋体" w:hAnsi="宋体" w:cs="宋体"/>
                <w:b w:val="0"/>
                <w:i w:val="0"/>
                <w:color w:val="000000"/>
                <w:sz w:val="13"/>
              </w:rPr>
              <w:t xml:space="preserve">40.05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部门：中国人民政治协商会议辽宁省沈阳市浑南区委员会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460.51</w:t>
            </w:r>
          </w:p>
        </w:tc>
        <w:tc>
          <w:tcPr>
            <w:tcW w:w="1060" w:type="dxa"/>
            <w:tcBorders/>
            <w:vAlign w:val="center"/>
          </w:tcPr>
          <w:p>
            <w:pPr>
              <w:jc w:val="right"/>
            </w:pPr>
            <w:r>
              <w:rPr>
                <w:rFonts w:ascii="宋体" w:eastAsia="宋体" w:hAnsi="宋体" w:cs="宋体"/>
                <w:b/>
                <w:i w:val="0"/>
                <w:color w:val="000000"/>
                <w:sz w:val="14"/>
              </w:rPr>
              <w:t xml:space="preserve">387.67</w:t>
            </w:r>
          </w:p>
        </w:tc>
        <w:tc>
          <w:tcPr>
            <w:tcW w:w="1060" w:type="dxa"/>
            <w:tcBorders/>
            <w:vAlign w:val="center"/>
          </w:tcPr>
          <w:p>
            <w:pPr>
              <w:jc w:val="right"/>
            </w:pPr>
            <w:r>
              <w:rPr>
                <w:rFonts w:ascii="宋体" w:eastAsia="宋体" w:hAnsi="宋体" w:cs="宋体"/>
                <w:b/>
                <w:i w:val="0"/>
                <w:color w:val="000000"/>
                <w:sz w:val="14"/>
              </w:rPr>
              <w:t xml:space="preserve">72.85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361.65</w:t>
            </w:r>
          </w:p>
        </w:tc>
        <w:tc>
          <w:tcPr>
            <w:tcW w:w="1060" w:type="dxa"/>
            <w:tcBorders/>
            <w:vAlign w:val="center"/>
          </w:tcPr>
          <w:p>
            <w:pPr>
              <w:jc w:val="right"/>
            </w:pPr>
            <w:r>
              <w:rPr>
                <w:rFonts w:ascii="宋体" w:eastAsia="宋体" w:hAnsi="宋体" w:cs="宋体"/>
                <w:b w:val="0"/>
                <w:i w:val="0"/>
                <w:color w:val="000000"/>
                <w:sz w:val="14"/>
              </w:rPr>
              <w:t xml:space="preserve">288.95</w:t>
            </w:r>
          </w:p>
        </w:tc>
        <w:tc>
          <w:tcPr>
            <w:tcW w:w="1060" w:type="dxa"/>
            <w:tcBorders/>
            <w:vAlign w:val="center"/>
          </w:tcPr>
          <w:p>
            <w:pPr>
              <w:jc w:val="right"/>
            </w:pPr>
            <w:r>
              <w:rPr>
                <w:rFonts w:ascii="宋体" w:eastAsia="宋体" w:hAnsi="宋体" w:cs="宋体"/>
                <w:b w:val="0"/>
                <w:i w:val="0"/>
                <w:color w:val="000000"/>
                <w:sz w:val="14"/>
              </w:rPr>
              <w:t xml:space="preserve">72.70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20102</w:t>
            </w:r>
          </w:p>
        </w:tc>
        <w:tc>
          <w:tcPr>
            <w:tcW w:w="3440" w:type="dxa"/>
            <w:tcBorders/>
            <w:vAlign w:val="center"/>
          </w:tcPr>
          <w:p>
            <w:pPr>
              <w:jc w:val="left"/>
            </w:pPr>
            <w:r>
              <w:rPr>
                <w:rFonts w:ascii="宋体" w:eastAsia="宋体" w:hAnsi="宋体" w:cs="宋体"/>
                <w:b w:val="0"/>
                <w:i w:val="0"/>
                <w:color w:val="000000"/>
                <w:sz w:val="14"/>
              </w:rPr>
              <w:t xml:space="preserve">政协事务</w:t>
            </w:r>
          </w:p>
        </w:tc>
        <w:tc>
          <w:tcPr>
            <w:tcW w:w="1060" w:type="dxa"/>
            <w:tcBorders/>
            <w:vAlign w:val="center"/>
          </w:tcPr>
          <w:p>
            <w:pPr>
              <w:jc w:val="right"/>
            </w:pPr>
            <w:r>
              <w:rPr>
                <w:rFonts w:ascii="宋体" w:eastAsia="宋体" w:hAnsi="宋体" w:cs="宋体"/>
                <w:b w:val="0"/>
                <w:i w:val="0"/>
                <w:color w:val="000000"/>
                <w:sz w:val="14"/>
              </w:rPr>
              <w:t xml:space="preserve">361.65</w:t>
            </w:r>
          </w:p>
        </w:tc>
        <w:tc>
          <w:tcPr>
            <w:tcW w:w="1060" w:type="dxa"/>
            <w:tcBorders/>
            <w:vAlign w:val="center"/>
          </w:tcPr>
          <w:p>
            <w:pPr>
              <w:jc w:val="right"/>
            </w:pPr>
            <w:r>
              <w:rPr>
                <w:rFonts w:ascii="宋体" w:eastAsia="宋体" w:hAnsi="宋体" w:cs="宋体"/>
                <w:b w:val="0"/>
                <w:i w:val="0"/>
                <w:color w:val="000000"/>
                <w:sz w:val="14"/>
              </w:rPr>
              <w:t xml:space="preserve">288.95</w:t>
            </w:r>
          </w:p>
        </w:tc>
        <w:tc>
          <w:tcPr>
            <w:tcW w:w="1060" w:type="dxa"/>
            <w:tcBorders/>
            <w:vAlign w:val="center"/>
          </w:tcPr>
          <w:p>
            <w:pPr>
              <w:jc w:val="right"/>
            </w:pPr>
            <w:r>
              <w:rPr>
                <w:rFonts w:ascii="宋体" w:eastAsia="宋体" w:hAnsi="宋体" w:cs="宋体"/>
                <w:b w:val="0"/>
                <w:i w:val="0"/>
                <w:color w:val="000000"/>
                <w:sz w:val="14"/>
              </w:rPr>
              <w:t xml:space="preserve">72.70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2010201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288.95</w:t>
            </w:r>
          </w:p>
        </w:tc>
        <w:tc>
          <w:tcPr>
            <w:tcW w:w="1060" w:type="dxa"/>
            <w:tcBorders/>
            <w:vAlign w:val="center"/>
          </w:tcPr>
          <w:p>
            <w:pPr>
              <w:jc w:val="right"/>
            </w:pPr>
            <w:r>
              <w:rPr>
                <w:rFonts w:ascii="宋体" w:eastAsia="宋体" w:hAnsi="宋体" w:cs="宋体"/>
                <w:b w:val="0"/>
                <w:i w:val="0"/>
                <w:color w:val="000000"/>
                <w:sz w:val="14"/>
              </w:rPr>
              <w:t xml:space="preserve">288.95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2010202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2010205</w:t>
            </w:r>
          </w:p>
        </w:tc>
        <w:tc>
          <w:tcPr>
            <w:tcW w:w="3440" w:type="dxa"/>
            <w:tcBorders/>
            <w:vAlign w:val="center"/>
          </w:tcPr>
          <w:p>
            <w:pPr>
              <w:jc w:val="left"/>
            </w:pPr>
            <w:r>
              <w:rPr>
                <w:rFonts w:ascii="宋体" w:eastAsia="宋体" w:hAnsi="宋体" w:cs="宋体"/>
                <w:b w:val="0"/>
                <w:i w:val="0"/>
                <w:color w:val="000000"/>
                <w:sz w:val="14"/>
              </w:rPr>
              <w:t xml:space="preserve">委员视察</w:t>
            </w:r>
          </w:p>
        </w:tc>
        <w:tc>
          <w:tcPr>
            <w:tcW w:w="1060" w:type="dxa"/>
            <w:tcBorders/>
            <w:vAlign w:val="center"/>
          </w:tcPr>
          <w:p>
            <w:pPr>
              <w:jc w:val="right"/>
            </w:pPr>
            <w:r>
              <w:rPr>
                <w:rFonts w:ascii="宋体" w:eastAsia="宋体" w:hAnsi="宋体" w:cs="宋体"/>
                <w:b w:val="0"/>
                <w:i w:val="0"/>
                <w:color w:val="000000"/>
                <w:sz w:val="14"/>
              </w:rPr>
              <w:t xml:space="preserve">62.57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62.57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0.15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0.15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0.15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49.34</w:t>
            </w:r>
          </w:p>
        </w:tc>
        <w:tc>
          <w:tcPr>
            <w:tcW w:w="1060" w:type="dxa"/>
            <w:tcBorders/>
            <w:vAlign w:val="center"/>
          </w:tcPr>
          <w:p>
            <w:pPr>
              <w:jc w:val="right"/>
            </w:pPr>
            <w:r>
              <w:rPr>
                <w:rFonts w:ascii="宋体" w:eastAsia="宋体" w:hAnsi="宋体" w:cs="宋体"/>
                <w:b w:val="0"/>
                <w:i w:val="0"/>
                <w:color w:val="000000"/>
                <w:sz w:val="14"/>
              </w:rPr>
              <w:t xml:space="preserve">49.34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49.34</w:t>
            </w:r>
          </w:p>
        </w:tc>
        <w:tc>
          <w:tcPr>
            <w:tcW w:w="1060" w:type="dxa"/>
            <w:tcBorders/>
            <w:vAlign w:val="center"/>
          </w:tcPr>
          <w:p>
            <w:pPr>
              <w:jc w:val="right"/>
            </w:pPr>
            <w:r>
              <w:rPr>
                <w:rFonts w:ascii="宋体" w:eastAsia="宋体" w:hAnsi="宋体" w:cs="宋体"/>
                <w:b w:val="0"/>
                <w:i w:val="0"/>
                <w:color w:val="000000"/>
                <w:sz w:val="14"/>
              </w:rPr>
              <w:t xml:space="preserve">49.34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7.18</w:t>
            </w:r>
          </w:p>
        </w:tc>
        <w:tc>
          <w:tcPr>
            <w:tcW w:w="1060" w:type="dxa"/>
            <w:tcBorders/>
            <w:vAlign w:val="center"/>
          </w:tcPr>
          <w:p>
            <w:pPr>
              <w:jc w:val="right"/>
            </w:pPr>
            <w:r>
              <w:rPr>
                <w:rFonts w:ascii="宋体" w:eastAsia="宋体" w:hAnsi="宋体" w:cs="宋体"/>
                <w:b w:val="0"/>
                <w:i w:val="0"/>
                <w:color w:val="000000"/>
                <w:sz w:val="14"/>
              </w:rPr>
              <w:t xml:space="preserve">7.18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35.79</w:t>
            </w:r>
          </w:p>
        </w:tc>
        <w:tc>
          <w:tcPr>
            <w:tcW w:w="1060" w:type="dxa"/>
            <w:tcBorders/>
            <w:vAlign w:val="center"/>
          </w:tcPr>
          <w:p>
            <w:pPr>
              <w:jc w:val="right"/>
            </w:pPr>
            <w:r>
              <w:rPr>
                <w:rFonts w:ascii="宋体" w:eastAsia="宋体" w:hAnsi="宋体" w:cs="宋体"/>
                <w:b w:val="0"/>
                <w:i w:val="0"/>
                <w:color w:val="000000"/>
                <w:sz w:val="14"/>
              </w:rPr>
              <w:t xml:space="preserve">35.79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6.37</w:t>
            </w:r>
          </w:p>
        </w:tc>
        <w:tc>
          <w:tcPr>
            <w:tcW w:w="1060" w:type="dxa"/>
            <w:tcBorders/>
            <w:vAlign w:val="center"/>
          </w:tcPr>
          <w:p>
            <w:pPr>
              <w:jc w:val="right"/>
            </w:pPr>
            <w:r>
              <w:rPr>
                <w:rFonts w:ascii="宋体" w:eastAsia="宋体" w:hAnsi="宋体" w:cs="宋体"/>
                <w:b w:val="0"/>
                <w:i w:val="0"/>
                <w:color w:val="000000"/>
                <w:sz w:val="14"/>
              </w:rPr>
              <w:t xml:space="preserve">6.37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9.33</w:t>
            </w:r>
          </w:p>
        </w:tc>
        <w:tc>
          <w:tcPr>
            <w:tcW w:w="1060" w:type="dxa"/>
            <w:tcBorders/>
            <w:vAlign w:val="center"/>
          </w:tcPr>
          <w:p>
            <w:pPr>
              <w:jc w:val="right"/>
            </w:pPr>
            <w:r>
              <w:rPr>
                <w:rFonts w:ascii="宋体" w:eastAsia="宋体" w:hAnsi="宋体" w:cs="宋体"/>
                <w:b w:val="0"/>
                <w:i w:val="0"/>
                <w:color w:val="000000"/>
                <w:sz w:val="14"/>
              </w:rPr>
              <w:t xml:space="preserve">9.33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9.33</w:t>
            </w:r>
          </w:p>
        </w:tc>
        <w:tc>
          <w:tcPr>
            <w:tcW w:w="1060" w:type="dxa"/>
            <w:tcBorders/>
            <w:vAlign w:val="center"/>
          </w:tcPr>
          <w:p>
            <w:pPr>
              <w:jc w:val="right"/>
            </w:pPr>
            <w:r>
              <w:rPr>
                <w:rFonts w:ascii="宋体" w:eastAsia="宋体" w:hAnsi="宋体" w:cs="宋体"/>
                <w:b w:val="0"/>
                <w:i w:val="0"/>
                <w:color w:val="000000"/>
                <w:sz w:val="14"/>
              </w:rPr>
              <w:t xml:space="preserve">9.33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9.33</w:t>
            </w:r>
          </w:p>
        </w:tc>
        <w:tc>
          <w:tcPr>
            <w:tcW w:w="1060" w:type="dxa"/>
            <w:tcBorders/>
            <w:vAlign w:val="center"/>
          </w:tcPr>
          <w:p>
            <w:pPr>
              <w:jc w:val="right"/>
            </w:pPr>
            <w:r>
              <w:rPr>
                <w:rFonts w:ascii="宋体" w:eastAsia="宋体" w:hAnsi="宋体" w:cs="宋体"/>
                <w:b w:val="0"/>
                <w:i w:val="0"/>
                <w:color w:val="000000"/>
                <w:sz w:val="14"/>
              </w:rPr>
              <w:t xml:space="preserve">9.33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40.05</w:t>
            </w:r>
          </w:p>
        </w:tc>
        <w:tc>
          <w:tcPr>
            <w:tcW w:w="1060" w:type="dxa"/>
            <w:tcBorders/>
            <w:vAlign w:val="center"/>
          </w:tcPr>
          <w:p>
            <w:pPr>
              <w:jc w:val="right"/>
            </w:pPr>
            <w:r>
              <w:rPr>
                <w:rFonts w:ascii="宋体" w:eastAsia="宋体" w:hAnsi="宋体" w:cs="宋体"/>
                <w:b w:val="0"/>
                <w:i w:val="0"/>
                <w:color w:val="000000"/>
                <w:sz w:val="14"/>
              </w:rPr>
              <w:t xml:space="preserve">40.05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40.05</w:t>
            </w:r>
          </w:p>
        </w:tc>
        <w:tc>
          <w:tcPr>
            <w:tcW w:w="1060" w:type="dxa"/>
            <w:tcBorders/>
            <w:vAlign w:val="center"/>
          </w:tcPr>
          <w:p>
            <w:pPr>
              <w:jc w:val="right"/>
            </w:pPr>
            <w:r>
              <w:rPr>
                <w:rFonts w:ascii="宋体" w:eastAsia="宋体" w:hAnsi="宋体" w:cs="宋体"/>
                <w:b w:val="0"/>
                <w:i w:val="0"/>
                <w:color w:val="000000"/>
                <w:sz w:val="14"/>
              </w:rPr>
              <w:t xml:space="preserve">40.05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40.05</w:t>
            </w:r>
          </w:p>
        </w:tc>
        <w:tc>
          <w:tcPr>
            <w:tcW w:w="1060" w:type="dxa"/>
            <w:tcBorders/>
            <w:vAlign w:val="center"/>
          </w:tcPr>
          <w:p>
            <w:pPr>
              <w:jc w:val="right"/>
            </w:pPr>
            <w:r>
              <w:rPr>
                <w:rFonts w:ascii="宋体" w:eastAsia="宋体" w:hAnsi="宋体" w:cs="宋体"/>
                <w:b w:val="0"/>
                <w:i w:val="0"/>
                <w:color w:val="000000"/>
                <w:sz w:val="14"/>
              </w:rPr>
              <w:t xml:space="preserve">40.05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部门：中国人民政治协商会议辽宁省沈阳市浑南区委员会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460.51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361.65</w:t>
            </w:r>
          </w:p>
        </w:tc>
        <w:tc>
          <w:tcPr>
            <w:tcW w:w="1100" w:type="dxa"/>
            <w:tcBorders/>
            <w:vAlign w:val="center"/>
          </w:tcPr>
          <w:p>
            <w:pPr>
              <w:jc w:val="right"/>
            </w:pPr>
            <w:r>
              <w:rPr>
                <w:rFonts w:ascii="宋体" w:eastAsia="宋体" w:hAnsi="宋体" w:cs="宋体"/>
                <w:b w:val="0"/>
                <w:i w:val="0"/>
                <w:color w:val="000000"/>
                <w:sz w:val="14"/>
              </w:rPr>
              <w:t xml:space="preserve">361.65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0.15</w:t>
            </w:r>
          </w:p>
        </w:tc>
        <w:tc>
          <w:tcPr>
            <w:tcW w:w="1100" w:type="dxa"/>
            <w:tcBorders/>
            <w:vAlign w:val="center"/>
          </w:tcPr>
          <w:p>
            <w:pPr>
              <w:jc w:val="right"/>
            </w:pPr>
            <w:r>
              <w:rPr>
                <w:rFonts w:ascii="宋体" w:eastAsia="宋体" w:hAnsi="宋体" w:cs="宋体"/>
                <w:b w:val="0"/>
                <w:i w:val="0"/>
                <w:color w:val="000000"/>
                <w:sz w:val="14"/>
              </w:rPr>
              <w:t xml:space="preserve">0.15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49.34</w:t>
            </w:r>
          </w:p>
        </w:tc>
        <w:tc>
          <w:tcPr>
            <w:tcW w:w="1100" w:type="dxa"/>
            <w:tcBorders/>
            <w:vAlign w:val="center"/>
          </w:tcPr>
          <w:p>
            <w:pPr>
              <w:jc w:val="right"/>
            </w:pPr>
            <w:r>
              <w:rPr>
                <w:rFonts w:ascii="宋体" w:eastAsia="宋体" w:hAnsi="宋体" w:cs="宋体"/>
                <w:b w:val="0"/>
                <w:i w:val="0"/>
                <w:color w:val="000000"/>
                <w:sz w:val="14"/>
              </w:rPr>
              <w:t xml:space="preserve">49.34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9.33</w:t>
            </w:r>
          </w:p>
        </w:tc>
        <w:tc>
          <w:tcPr>
            <w:tcW w:w="1100" w:type="dxa"/>
            <w:tcBorders/>
            <w:vAlign w:val="center"/>
          </w:tcPr>
          <w:p>
            <w:pPr>
              <w:jc w:val="right"/>
            </w:pPr>
            <w:r>
              <w:rPr>
                <w:rFonts w:ascii="宋体" w:eastAsia="宋体" w:hAnsi="宋体" w:cs="宋体"/>
                <w:b w:val="0"/>
                <w:i w:val="0"/>
                <w:color w:val="000000"/>
                <w:sz w:val="14"/>
              </w:rPr>
              <w:t xml:space="preserve">9.33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40.05</w:t>
            </w:r>
          </w:p>
        </w:tc>
        <w:tc>
          <w:tcPr>
            <w:tcW w:w="1100" w:type="dxa"/>
            <w:tcBorders/>
            <w:vAlign w:val="center"/>
          </w:tcPr>
          <w:p>
            <w:pPr>
              <w:jc w:val="right"/>
            </w:pPr>
            <w:r>
              <w:rPr>
                <w:rFonts w:ascii="宋体" w:eastAsia="宋体" w:hAnsi="宋体" w:cs="宋体"/>
                <w:b w:val="0"/>
                <w:i w:val="0"/>
                <w:color w:val="000000"/>
                <w:sz w:val="14"/>
              </w:rPr>
              <w:t xml:space="preserve">40.05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460.51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460.51</w:t>
            </w:r>
          </w:p>
        </w:tc>
        <w:tc>
          <w:tcPr>
            <w:tcW w:w="1100" w:type="dxa"/>
            <w:tcBorders/>
            <w:vAlign w:val="center"/>
          </w:tcPr>
          <w:p>
            <w:pPr>
              <w:jc w:val="right"/>
            </w:pPr>
            <w:r>
              <w:rPr>
                <w:rFonts w:ascii="宋体" w:eastAsia="宋体" w:hAnsi="宋体" w:cs="宋体"/>
                <w:b w:val="0"/>
                <w:i w:val="0"/>
                <w:color w:val="000000"/>
                <w:sz w:val="14"/>
              </w:rPr>
              <w:t xml:space="preserve">460.51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460.51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460.51</w:t>
            </w:r>
          </w:p>
        </w:tc>
        <w:tc>
          <w:tcPr>
            <w:tcW w:w="1100" w:type="dxa"/>
            <w:tcBorders/>
            <w:vAlign w:val="center"/>
          </w:tcPr>
          <w:p>
            <w:pPr>
              <w:jc w:val="right"/>
            </w:pPr>
            <w:r>
              <w:rPr>
                <w:rFonts w:ascii="宋体" w:eastAsia="宋体" w:hAnsi="宋体" w:cs="宋体"/>
                <w:b w:val="0"/>
                <w:i w:val="0"/>
                <w:color w:val="000000"/>
                <w:sz w:val="14"/>
              </w:rPr>
              <w:t xml:space="preserve">460.51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部门：中国人民政治协商会议辽宁省沈阳市浑南区委员会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460.51</w:t>
            </w:r>
          </w:p>
        </w:tc>
        <w:tc>
          <w:tcPr>
            <w:tcW w:w="1780" w:type="dxa"/>
            <w:tcBorders/>
            <w:vAlign w:val="center"/>
          </w:tcPr>
          <w:p>
            <w:pPr>
              <w:jc w:val="right"/>
            </w:pPr>
            <w:r>
              <w:rPr>
                <w:rFonts w:ascii="宋体" w:eastAsia="宋体" w:hAnsi="宋体" w:cs="宋体"/>
                <w:b/>
                <w:i w:val="0"/>
                <w:color w:val="000000"/>
                <w:sz w:val="18"/>
              </w:rPr>
              <w:t xml:space="preserve">387.67</w:t>
            </w:r>
          </w:p>
        </w:tc>
        <w:tc>
          <w:tcPr>
            <w:tcW w:w="1772" w:type="dxa"/>
            <w:tcBorders/>
            <w:vAlign w:val="center"/>
          </w:tcPr>
          <w:p>
            <w:pPr>
              <w:jc w:val="right"/>
            </w:pPr>
            <w:r>
              <w:rPr>
                <w:rFonts w:ascii="宋体" w:eastAsia="宋体" w:hAnsi="宋体" w:cs="宋体"/>
                <w:b/>
                <w:i w:val="0"/>
                <w:color w:val="000000"/>
                <w:sz w:val="18"/>
              </w:rPr>
              <w:t xml:space="preserve">72.85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361.65</w:t>
            </w:r>
          </w:p>
        </w:tc>
        <w:tc>
          <w:tcPr>
            <w:tcW w:w="1780" w:type="dxa"/>
            <w:tcBorders/>
            <w:vAlign w:val="center"/>
          </w:tcPr>
          <w:p>
            <w:pPr>
              <w:jc w:val="right"/>
            </w:pPr>
            <w:r>
              <w:rPr>
                <w:rFonts w:ascii="宋体" w:eastAsia="宋体" w:hAnsi="宋体" w:cs="宋体"/>
                <w:b w:val="0"/>
                <w:i w:val="0"/>
                <w:color w:val="000000"/>
                <w:sz w:val="18"/>
              </w:rPr>
              <w:t xml:space="preserve">288.95</w:t>
            </w:r>
          </w:p>
        </w:tc>
        <w:tc>
          <w:tcPr>
            <w:tcW w:w="1772" w:type="dxa"/>
            <w:tcBorders/>
            <w:vAlign w:val="center"/>
          </w:tcPr>
          <w:p>
            <w:pPr>
              <w:jc w:val="right"/>
            </w:pPr>
            <w:r>
              <w:rPr>
                <w:rFonts w:ascii="宋体" w:eastAsia="宋体" w:hAnsi="宋体" w:cs="宋体"/>
                <w:b w:val="0"/>
                <w:i w:val="0"/>
                <w:color w:val="000000"/>
                <w:sz w:val="18"/>
              </w:rPr>
              <w:t xml:space="preserve">72.70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20102</w:t>
            </w:r>
          </w:p>
        </w:tc>
        <w:tc>
          <w:tcPr>
            <w:tcW w:w="4300" w:type="dxa"/>
            <w:tcBorders/>
            <w:vAlign w:val="center"/>
          </w:tcPr>
          <w:p>
            <w:pPr>
              <w:jc w:val="left"/>
            </w:pPr>
            <w:r>
              <w:rPr>
                <w:rFonts w:ascii="宋体" w:eastAsia="宋体" w:hAnsi="宋体" w:cs="宋体"/>
                <w:b w:val="0"/>
                <w:i w:val="0"/>
                <w:color w:val="000000"/>
                <w:sz w:val="18"/>
              </w:rPr>
              <w:t xml:space="preserve">政协事务</w:t>
            </w:r>
          </w:p>
        </w:tc>
        <w:tc>
          <w:tcPr>
            <w:tcW w:w="1780" w:type="dxa"/>
            <w:tcBorders/>
            <w:vAlign w:val="center"/>
          </w:tcPr>
          <w:p>
            <w:pPr>
              <w:jc w:val="right"/>
            </w:pPr>
            <w:r>
              <w:rPr>
                <w:rFonts w:ascii="宋体" w:eastAsia="宋体" w:hAnsi="宋体" w:cs="宋体"/>
                <w:b w:val="0"/>
                <w:i w:val="0"/>
                <w:color w:val="000000"/>
                <w:sz w:val="18"/>
              </w:rPr>
              <w:t xml:space="preserve">361.65</w:t>
            </w:r>
          </w:p>
        </w:tc>
        <w:tc>
          <w:tcPr>
            <w:tcW w:w="1780" w:type="dxa"/>
            <w:tcBorders/>
            <w:vAlign w:val="center"/>
          </w:tcPr>
          <w:p>
            <w:pPr>
              <w:jc w:val="right"/>
            </w:pPr>
            <w:r>
              <w:rPr>
                <w:rFonts w:ascii="宋体" w:eastAsia="宋体" w:hAnsi="宋体" w:cs="宋体"/>
                <w:b w:val="0"/>
                <w:i w:val="0"/>
                <w:color w:val="000000"/>
                <w:sz w:val="18"/>
              </w:rPr>
              <w:t xml:space="preserve">288.95</w:t>
            </w:r>
          </w:p>
        </w:tc>
        <w:tc>
          <w:tcPr>
            <w:tcW w:w="1772" w:type="dxa"/>
            <w:tcBorders/>
            <w:vAlign w:val="center"/>
          </w:tcPr>
          <w:p>
            <w:pPr>
              <w:jc w:val="right"/>
            </w:pPr>
            <w:r>
              <w:rPr>
                <w:rFonts w:ascii="宋体" w:eastAsia="宋体" w:hAnsi="宋体" w:cs="宋体"/>
                <w:b w:val="0"/>
                <w:i w:val="0"/>
                <w:color w:val="000000"/>
                <w:sz w:val="18"/>
              </w:rPr>
              <w:t xml:space="preserve">72.70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2010201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288.95</w:t>
            </w:r>
          </w:p>
        </w:tc>
        <w:tc>
          <w:tcPr>
            <w:tcW w:w="1780" w:type="dxa"/>
            <w:tcBorders/>
            <w:vAlign w:val="center"/>
          </w:tcPr>
          <w:p>
            <w:pPr>
              <w:jc w:val="right"/>
            </w:pPr>
            <w:r>
              <w:rPr>
                <w:rFonts w:ascii="宋体" w:eastAsia="宋体" w:hAnsi="宋体" w:cs="宋体"/>
                <w:b w:val="0"/>
                <w:i w:val="0"/>
                <w:color w:val="000000"/>
                <w:sz w:val="18"/>
              </w:rPr>
              <w:t xml:space="preserve">288.95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2010202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10.13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2010205</w:t>
            </w:r>
          </w:p>
        </w:tc>
        <w:tc>
          <w:tcPr>
            <w:tcW w:w="4300" w:type="dxa"/>
            <w:tcBorders/>
            <w:vAlign w:val="center"/>
          </w:tcPr>
          <w:p>
            <w:pPr>
              <w:jc w:val="left"/>
            </w:pPr>
            <w:r>
              <w:rPr>
                <w:rFonts w:ascii="宋体" w:eastAsia="宋体" w:hAnsi="宋体" w:cs="宋体"/>
                <w:b w:val="0"/>
                <w:i w:val="0"/>
                <w:color w:val="000000"/>
                <w:sz w:val="18"/>
              </w:rPr>
              <w:t xml:space="preserve">委员视察</w:t>
            </w:r>
          </w:p>
        </w:tc>
        <w:tc>
          <w:tcPr>
            <w:tcW w:w="1780" w:type="dxa"/>
            <w:tcBorders/>
            <w:vAlign w:val="center"/>
          </w:tcPr>
          <w:p>
            <w:pPr>
              <w:jc w:val="right"/>
            </w:pPr>
            <w:r>
              <w:rPr>
                <w:rFonts w:ascii="宋体" w:eastAsia="宋体" w:hAnsi="宋体" w:cs="宋体"/>
                <w:b w:val="0"/>
                <w:i w:val="0"/>
                <w:color w:val="000000"/>
                <w:sz w:val="18"/>
              </w:rPr>
              <w:t xml:space="preserve">62.57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62.57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0.15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0.15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0.15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49.34</w:t>
            </w:r>
          </w:p>
        </w:tc>
        <w:tc>
          <w:tcPr>
            <w:tcW w:w="1780" w:type="dxa"/>
            <w:tcBorders/>
            <w:vAlign w:val="center"/>
          </w:tcPr>
          <w:p>
            <w:pPr>
              <w:jc w:val="right"/>
            </w:pPr>
            <w:r>
              <w:rPr>
                <w:rFonts w:ascii="宋体" w:eastAsia="宋体" w:hAnsi="宋体" w:cs="宋体"/>
                <w:b w:val="0"/>
                <w:i w:val="0"/>
                <w:color w:val="000000"/>
                <w:sz w:val="18"/>
              </w:rPr>
              <w:t xml:space="preserve">49.34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49.34</w:t>
            </w:r>
          </w:p>
        </w:tc>
        <w:tc>
          <w:tcPr>
            <w:tcW w:w="1780" w:type="dxa"/>
            <w:tcBorders/>
            <w:vAlign w:val="center"/>
          </w:tcPr>
          <w:p>
            <w:pPr>
              <w:jc w:val="right"/>
            </w:pPr>
            <w:r>
              <w:rPr>
                <w:rFonts w:ascii="宋体" w:eastAsia="宋体" w:hAnsi="宋体" w:cs="宋体"/>
                <w:b w:val="0"/>
                <w:i w:val="0"/>
                <w:color w:val="000000"/>
                <w:sz w:val="18"/>
              </w:rPr>
              <w:t xml:space="preserve">49.34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7.18</w:t>
            </w:r>
          </w:p>
        </w:tc>
        <w:tc>
          <w:tcPr>
            <w:tcW w:w="1780" w:type="dxa"/>
            <w:tcBorders/>
            <w:vAlign w:val="center"/>
          </w:tcPr>
          <w:p>
            <w:pPr>
              <w:jc w:val="right"/>
            </w:pPr>
            <w:r>
              <w:rPr>
                <w:rFonts w:ascii="宋体" w:eastAsia="宋体" w:hAnsi="宋体" w:cs="宋体"/>
                <w:b w:val="0"/>
                <w:i w:val="0"/>
                <w:color w:val="000000"/>
                <w:sz w:val="18"/>
              </w:rPr>
              <w:t xml:space="preserve">7.18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35.79</w:t>
            </w:r>
          </w:p>
        </w:tc>
        <w:tc>
          <w:tcPr>
            <w:tcW w:w="1780" w:type="dxa"/>
            <w:tcBorders/>
            <w:vAlign w:val="center"/>
          </w:tcPr>
          <w:p>
            <w:pPr>
              <w:jc w:val="right"/>
            </w:pPr>
            <w:r>
              <w:rPr>
                <w:rFonts w:ascii="宋体" w:eastAsia="宋体" w:hAnsi="宋体" w:cs="宋体"/>
                <w:b w:val="0"/>
                <w:i w:val="0"/>
                <w:color w:val="000000"/>
                <w:sz w:val="18"/>
              </w:rPr>
              <w:t xml:space="preserve">35.79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6.37</w:t>
            </w:r>
          </w:p>
        </w:tc>
        <w:tc>
          <w:tcPr>
            <w:tcW w:w="1780" w:type="dxa"/>
            <w:tcBorders/>
            <w:vAlign w:val="center"/>
          </w:tcPr>
          <w:p>
            <w:pPr>
              <w:jc w:val="right"/>
            </w:pPr>
            <w:r>
              <w:rPr>
                <w:rFonts w:ascii="宋体" w:eastAsia="宋体" w:hAnsi="宋体" w:cs="宋体"/>
                <w:b w:val="0"/>
                <w:i w:val="0"/>
                <w:color w:val="000000"/>
                <w:sz w:val="18"/>
              </w:rPr>
              <w:t xml:space="preserve">6.37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9.33</w:t>
            </w:r>
          </w:p>
        </w:tc>
        <w:tc>
          <w:tcPr>
            <w:tcW w:w="1780" w:type="dxa"/>
            <w:tcBorders/>
            <w:vAlign w:val="center"/>
          </w:tcPr>
          <w:p>
            <w:pPr>
              <w:jc w:val="right"/>
            </w:pPr>
            <w:r>
              <w:rPr>
                <w:rFonts w:ascii="宋体" w:eastAsia="宋体" w:hAnsi="宋体" w:cs="宋体"/>
                <w:b w:val="0"/>
                <w:i w:val="0"/>
                <w:color w:val="000000"/>
                <w:sz w:val="18"/>
              </w:rPr>
              <w:t xml:space="preserve">9.33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9.33</w:t>
            </w:r>
          </w:p>
        </w:tc>
        <w:tc>
          <w:tcPr>
            <w:tcW w:w="1780" w:type="dxa"/>
            <w:tcBorders/>
            <w:vAlign w:val="center"/>
          </w:tcPr>
          <w:p>
            <w:pPr>
              <w:jc w:val="right"/>
            </w:pPr>
            <w:r>
              <w:rPr>
                <w:rFonts w:ascii="宋体" w:eastAsia="宋体" w:hAnsi="宋体" w:cs="宋体"/>
                <w:b w:val="0"/>
                <w:i w:val="0"/>
                <w:color w:val="000000"/>
                <w:sz w:val="18"/>
              </w:rPr>
              <w:t xml:space="preserve">9.33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9.33</w:t>
            </w:r>
          </w:p>
        </w:tc>
        <w:tc>
          <w:tcPr>
            <w:tcW w:w="1780" w:type="dxa"/>
            <w:tcBorders/>
            <w:vAlign w:val="center"/>
          </w:tcPr>
          <w:p>
            <w:pPr>
              <w:jc w:val="right"/>
            </w:pPr>
            <w:r>
              <w:rPr>
                <w:rFonts w:ascii="宋体" w:eastAsia="宋体" w:hAnsi="宋体" w:cs="宋体"/>
                <w:b w:val="0"/>
                <w:i w:val="0"/>
                <w:color w:val="000000"/>
                <w:sz w:val="18"/>
              </w:rPr>
              <w:t xml:space="preserve">9.33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40.05</w:t>
            </w:r>
          </w:p>
        </w:tc>
        <w:tc>
          <w:tcPr>
            <w:tcW w:w="1780" w:type="dxa"/>
            <w:tcBorders/>
            <w:vAlign w:val="center"/>
          </w:tcPr>
          <w:p>
            <w:pPr>
              <w:jc w:val="right"/>
            </w:pPr>
            <w:r>
              <w:rPr>
                <w:rFonts w:ascii="宋体" w:eastAsia="宋体" w:hAnsi="宋体" w:cs="宋体"/>
                <w:b w:val="0"/>
                <w:i w:val="0"/>
                <w:color w:val="000000"/>
                <w:sz w:val="18"/>
              </w:rPr>
              <w:t xml:space="preserve">40.05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40.05</w:t>
            </w:r>
          </w:p>
        </w:tc>
        <w:tc>
          <w:tcPr>
            <w:tcW w:w="1780" w:type="dxa"/>
            <w:tcBorders/>
            <w:vAlign w:val="center"/>
          </w:tcPr>
          <w:p>
            <w:pPr>
              <w:jc w:val="right"/>
            </w:pPr>
            <w:r>
              <w:rPr>
                <w:rFonts w:ascii="宋体" w:eastAsia="宋体" w:hAnsi="宋体" w:cs="宋体"/>
                <w:b w:val="0"/>
                <w:i w:val="0"/>
                <w:color w:val="000000"/>
                <w:sz w:val="18"/>
              </w:rPr>
              <w:t xml:space="preserve">40.05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40.05</w:t>
            </w:r>
          </w:p>
        </w:tc>
        <w:tc>
          <w:tcPr>
            <w:tcW w:w="1780" w:type="dxa"/>
            <w:tcBorders/>
            <w:vAlign w:val="center"/>
          </w:tcPr>
          <w:p>
            <w:pPr>
              <w:jc w:val="right"/>
            </w:pPr>
            <w:r>
              <w:rPr>
                <w:rFonts w:ascii="宋体" w:eastAsia="宋体" w:hAnsi="宋体" w:cs="宋体"/>
                <w:b w:val="0"/>
                <w:i w:val="0"/>
                <w:color w:val="000000"/>
                <w:sz w:val="18"/>
              </w:rPr>
              <w:t xml:space="preserve">40.05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部门：中国人民政治协商会议辽宁省沈阳市浑南区委员会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337.66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42.83</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99.38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6.72</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65.72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73.60</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6.53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35.79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6.37</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14.13</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9.33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0.89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0.08</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40.05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7.18</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7.18</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1.59</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20.31</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344.84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42.83</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部门：中国人民政治协商会议辽宁省沈阳市浑南区委员会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部门：中国人民政治协商会议辽宁省沈阳市浑南区委员会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部门：中国人民政治协商会议辽宁省沈阳市浑南区委员会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中国人民政治协商会议沈阳市浑南区委员会-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中国人民政治协商会议沈阳市浑南区委员会本级-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61.32%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单位运转情况良好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经费保障:单位计划招聘雇员增加力量，但是由于资金紧张、且本年无招聘计划执行因此未招聘工作人员。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经费保障:在现有人员的基础上，通过增加现有人员的工作效率来提高工作效率，保障工作的按时高效。</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硬件条件保障::虽然提出了一些关于促进地区旅游经济发展的提案，但由于整体经济环境及区域发展限制，未达到预期效果。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硬件条件保障:继续提出更有建设性的提案，使提出的提案更具可行性，以促进地区旅游经济发展和相关发展。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经费保障:本年度经费保障基本及时，极个别情况也是有相关原因的，总体保障很满意，今后继续加强保障及时率。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经费保障:本年度经费保障基本及时，极个别情况也是有相关原因的，总体保障很满意，今后继续加强保障及时率。</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人才创造的年度经济效益不低于上年水平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人员保障:本年度，本单位有一些雇员离职，导致人才创造的年度经济效益有所降低基本与上年度持平。</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人员保障:一方面，提高现有人员的工作效率，争取创造更大的经济效益，另一方面，尽量增加相关人员。</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硬件条件保障:虽然提出了一些关于促进地区旅游经济发展的提案，但由于整体经济环境及区域发展限制，未达到预期效果。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硬件条件保障:继续提出更有建设性的提案，使提出的提案更具可行性，以促进地区旅游经济发展和相关发展。</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本地经济和社会发展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其他:本年度，在促进本地区经济发展方面虽然贡献了一部分力量，但由于本单位雇员离职率较高，导致人员紧张，贡献力量有待加强。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其他:本年度，在促进本地区经济发展方面虽然贡献了一部分力量，但由于本单位雇员离职率较高，导致人员紧张，贡献力量有待加强。</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改善生态环境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其他:本单位动员了员工参加了区里组织的回收废电池等环保活动，争取动员更多的群众参与其中。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其他:本单位动员了员工参加了区里组织的回收废电池等环保活动，争取动员更多的群众参与其中。</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生态系统保护能力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其他:本单位动员了员工参加了区里组织的回收废电池等环保活动，争取动员更多的群众参与其中。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其他:本单位动员了员工参加了区里组织的回收废电池等环保活动，争取动员更多的群众参与其中。</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促进城乡地区经济可持续发展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其他:本年度，在促进地区经济发展，本单位组织提出了一些提案，取得了一定成效，由于经济大环境等原因，还有提高空间。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其他:本年度，在促进地区经济发展，本单位组织提出了一些提案，取得了一定成效，由于经济大环境等原因，还有提高空间。</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中国人民政治协商会议沈阳市浑南区委员会-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中国人民政治协商会议沈阳市浑南区委员会本级-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残疾人就业保障金经费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话题总阅读量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节能降耗情况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主管单位满意度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91.46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区政协全会经费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中国人民政治协商会议沈阳市浑南区委员会-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中国人民政治协商会议沈阳市浑南区委员会本级-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绩效目标没有完成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经费保障:由于财政资金紧张，因此大会经费未拨付，造成此项经费当年未能保障，未予以安排。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经费保障:由于财政资金紧张，因此大会经费未拨付，此项经费当年未能保障，未予以安排。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杰出人才培养支持数量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杰出人才培养支持数量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经费保障:由于财政资金紧张，因此此项经费当年未能拨付，因此未能保障，未能未予以安排。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经费保障:由于财政资金紧张，因此此项经费当年未能拨付，因此未能保障，未能未予以安排。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信息被党派中央、省委统战部</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、省政协采用的比例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信息被党派中央、省委统战部</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、省政协采用的比例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其他:0指标设计时略有偏离，不完全适应适用大会这个项目，今后设计指标争取更加贴切合理。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经费保障:由于财政资金紧张，因此此项经费当年未能拨付，因此未能保障，未能未予以安排。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经费保障:由于财政资金紧张，因此此项经费当年未能拨付，因此未能保障，未能未予以安排。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经费保障:由于财政资金紧张，因此此项经费当年未能拨付，因此未能保障，未能未予以安排。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经费保障:由于财政资金紧张，因此此项经费当年未能拨付，因此未能保障，未能未予以安排。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经费保障:由于财政资金紧张，因此此项经费当年未能拨付，因此未能保障，未能未予以安排。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经费保障:由于财政资金紧张，因此此项经费当年未能拨付，因此未能保障，未能未予以安排。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经费保障:由于财政资金紧张，因此此项经费当年未能拨付，因此未能保障，未能未予以安排。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经费保障:由于财政资金紧张，因此此项经费当年未能拨付，因此未能保障，未能未予以安排。</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人才创造的年度经济效益不低于上年水平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人才创造的年度经济效益不低于上年水平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媒体报道数量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媒体报道数量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其他:指标设计时略有偏离，不完全适应适用大会这个项目，今后设计指标争取更加贴切合理。</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中国人民政治协商会议沈阳市浑南区委员会-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中国人民政治协商会议沈阳市浑南区委员会本级-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由于资金原因，完成度较低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话题总阅读量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话题总阅读量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经费保障:由于财政资金紧张，因此该项费用发生后很长时间才拨付，但单位已经做好了相关解释工作，避免相关风险发生。</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经费保障:由于财政资金紧张，因此该项费用发生后很长时间才拨付，但单位已经做好了相关解释工作，避免相关风险发生。</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经费保障:由于财政资金紧张，因此该项费用发生后很长时间才拨付，但单位已经做好了相关解释工作，避免相关风险发生。</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经费保障:由于财政资金紧张，因此该项费用发生后很长时间才拨付，但单位已经做好了相关解释工作，避免相关风险发生。</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支撑辽宁重点产业发展情况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支撑辽宁重点产业发展情况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节能降耗情况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节能降耗情况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47.84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政务考察费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中国人民政治协商会议沈阳市浑南区委员会-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中国人民政治协商会议沈阳市浑南区委员会本级-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29.94%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完成情况一般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话题总阅读量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其他:拓展话题阅读量的更多渠道和方式，比如公众号、媒体、新媒体等渠道，争取增加话题阅读量。</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其他:拓展话题阅读量的更多渠道和方式，比如公众号、媒体、新媒体等渠道，争取增加话题阅读量。</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话题总阅读量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其他:拓展话题阅读量的更多渠道和方式，比如公众号、媒体、新媒体等渠道，争取增加话题阅读量。</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其他:拓展话题阅读量的更多渠道和方式，比如公众号、媒体、新媒体等渠道，争取增加话题阅读量。</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经费保障:由于整体大环境原因，以及缩减经费的考虑，也考虑到足额保障率的问题，减少外出考察。</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经费保障:由于整体大环境原因，以及缩减经费的考虑，也考虑到足额保障率的问题，减少外出考察。</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经费保障:考虑到经费问题，减少了一些宣传和一些宣传力度，接下来研究在保证宣传力度的基础上提高宣传力度方式。</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经费保障:考虑到经费问题，减少了一些宣传和一些宣传力度，接下来研究在保证宣传力度的基础上提高宣传力度方式。</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经费保障:考虑到经费问题，减少了一些宣传和一些宣传力度，接下来研究在保证宣传力度的基础上提高宣传力度方式。</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经费保障:考虑到经费问题，减少了一些宣传和一些宣传力度，接下来研究在保证宣传力度的基础上提高宣传力度方式。</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经费保障:由于整体大环境原因，以及缩减经费的考虑，也考虑到足额保障率的问题，减少外出考察。</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经费保障:由于整体大环境原因，以及缩减经费的考虑，也考虑到足额保障率的问题，减少外出考察。</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经费保障:由于整体大环境原因，以及缩减经费的考虑，也考虑到足额保障率的问题，减少外出考察。</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经费保障:由于整体大环境原因，以及缩减经费的考虑，也考虑到足额保障率的问题，减少外出考察。</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其他:该指标可能不太适合此类项目，接下来会进行研究更精准的指标来对应这个项目并进行指标调整。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其他:该指标可能不太适合此类项目，接下来会进行研究更精准的指标来对应这个项目并进行指标调整。</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支撑辽宁重点产业发展情况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其他:指标设计不合理，准备在下一年度绩效考核指标设置的时候，合理优化该指标，使得评价更合理。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其他:指标设计不合理，准备在下一年度绩效考核指标设置的时候，合理优化该指标，使得评价更合理。</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其他:该指标可能不太适合此类项目，接下来会进行研究更精准的指标来对应这个项目并进行指标调整。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其他:该指标可能不太适合此类项目，接下来会进行研究更精准的指标来对应这个项目并进行指标调整。</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支撑辽宁重点产业发展情况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其他:指标设计不合理，准备在下一年度绩效考核指标设置的时候，合理优化该指标，使得评价更合理。</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其他:指标设计不合理，准备在下一年度绩效考核指标设置的时候，合理优化该指标，使得评价更合理。</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发生资金使用重大违规违纪次数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节能降耗情况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其他:该指标可能不太适合此类项目，接下来会进行研究更精准的指标来对应这个项目并进行指标调整。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其他:该指标可能不太适合此类项目，接下来会进行研究更精准的指标来对应这个项目并进行指标调整。</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节能降耗情况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其他:该指标可能不太适合此类项目，接下来会进行研究更精准的指标来对应这个项目并进行指标调整。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其他:该指标可能不太适合此类项目，接下来会进行研究更精准的指标来对应这个项目并进行指标调整。</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政协委员活动经费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中国人民政治协商会议沈阳市浑南区委员会-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中国人民政治协商会议沈阳市浑南区委员会本级-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杰出人才培养支持数量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杰出人才培养支持数量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其他:本年度本单位在公众号、媒体等各种宣传报道70余条，宣传报道及时，今后拓展更多的报道方式。</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其他:本年度本单位在公众号、媒体等各种宣传报道70余条，宣传报道及时，今后拓展更多的报道方式。</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其他:本年度本单位在公众号、媒体等各种宣传报道70余条，宣传报道及时，今后拓展更多的报道方式。</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其他:本年度本单位在公众号、媒体等各种宣传报道70余条，宣传报道及时，今后拓展更多的报道方式。</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人才创造的年度经济效益不低于上年水平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其他:由于整体经济及大环境情况，本年度人才创造的经济效益基本和上年持平， 下一个年度争取提高。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其他:由于整体经济及大环境情况，本年度人才创造的经济效益基本和上年持平， 下一个年度争取提高。</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其他:虽然提出了一些关于促进地区旅游经济发展的提案，但由于整体经济环境及区域发展限制，未达到预期效果。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其他:虽然提出了一些关于促进地区旅游经济发展的提案，但由于整体经济环境及区域发展限制，未达到预期效果。</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其他:虽然提出了一些关于促进地区旅游经济发展的提案，但由于整体经济环境及区域发展限制，未达到预期效果。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其他:虽然提出了一些关于促进地区旅游经济发展的提案，但由于整体经济环境及区域发展限制，未达到预期效果。</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人才创造的年度经济效益不低于上年水平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其他:由于整体经济及大环境情况，本年度人才创造的经济效益基本和上年持平， 下一个年度争取提高。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其他:由于整体经济及大环境情况，本年度人才创造的经济效益基本和上年持平， 下一个年度争取提高。</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提升社会组织管理能力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管理能力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提升社会组织管理能力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管理能力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2.27333333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004001中国人民政治协商会议沈阳市浑南区委员会本级-210112000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459.58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459.58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82.89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82.89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281.70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281.69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按要求填报整体绩效目标申报</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完成整体目标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该指标设计得不合理，在下一年度指标设置的时候会根据情况优化指标，使得指标设计得更加合理。</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其他:该指标设计得不合理，在下一年度指标设置的时候会根据情况优化指标，使得指标设计得更加合理。</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党的建设指标考核工作完成率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会计从业人员资格覆盖率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离退休人员满意率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民族宗教事务法制化进程</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法制化</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99.34</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