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辽宁省沈阳市浑南区城市管理局（本级）</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辽宁省沈阳市浑南区城市管理局（本级）</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辽宁省沈阳市浑南区城市管理局（本级）</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辽宁省沈阳市浑南区城市管理局（本级）</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辽宁省沈阳市浑南区城市管理局（本级）</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辽宁省沈阳市浑南区城市管理局（本级）概况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（一）贯彻执行国家、省、市有关市容景观、园林绿化、环境卫生方面的方针、政策和法律、法规、规章，拟定中长期规划和年度计划，并监督实施。</w:t>
        <w:br/>
        <w:t xml:space="preserve">    （二）负责制定市容景观、园林绿化、环境卫生等行业相关规定、作业标准、管理办法、操作规程并监督管理、协调指导行业工作。</w:t>
        <w:br/>
        <w:t xml:space="preserve">    （三）负责汇总编制市容景观、园林绿化、环境卫生等方面涉及的建设、改造、维修、养护和日常管理等方面的资金计划，并监督实施。</w:t>
        <w:br/>
        <w:t xml:space="preserve">    （四）负责城市户外广告设置管理工作；负责城市除运雪监督管理工作；负责城市绿化养护的监督管理工作；负责全区环境卫生监督管理工作。</w:t>
        <w:br/>
        <w:t xml:space="preserve">    （五）负责市容景观、环境卫生、园林绿化等行政审批工作。</w:t>
        <w:br/>
        <w:t xml:space="preserve">    （六）负责本单位安全生产工作。</w:t>
        <w:br/>
        <w:t xml:space="preserve">    （七）完成区委、区政府交办的其他事项。</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辽宁省沈阳市浑南区城市管理局（本级）</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沈阳市浑南区城市管理局本级，本单位无下设机构。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2780.90</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2780.90</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2780.90</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减少297.28万元，降低9.66%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资金紧张，控制收支</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2780.90</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83.92</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3.02</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工资福利支出75.19万元；商品和服务支出8.19万元；对个人和家庭的补助0.55万元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2696.98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96.98</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主要包括绿化、亮化相关工程等业务支出。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减少297.28万元，降低9.66%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资金紧张，控制支出</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无结转结余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2780.90</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83.92</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2696.98</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减少297.28万元，降低9.66%</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资金紧张，控制支出</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452.26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73.57</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538.51</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2024年度一般公共预算财政拨款支出2780.90万元。按支出功能分类科目分，包括：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1.社会保障和就业支出8.64万元，具体包括：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（1）社会保障和就业支出（类）行政事业单位养老支出（款）行政单位离退休（项）0.55万元,主要是离退休费等支出，完成年初预算的100%，决算数与年初预算数存在差异的主要原因是完全按照预算安排支付。</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8.09万元,主要是养老保险缴费等支出，完成年初预算的88%，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2.卫生健康支出3.12万元，具体包括：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（1）卫生健康支出（类）行政事业单位医疗（款）行政单位医疗（项）3.12万元,主要是医疗保险缴费等支出，完成年初预算的80%，决算数与年初预算数存在差异的主要原因是按实际发生额支出。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3.城乡社区支出2760.00万元，具体包括：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（1）城乡社区支出（类）城乡社区管理事务（款）行政运行（项）63.03万元,主要是基本工资、津贴补贴等支出，完成年初预算的82.32%，决算数与年初预算数存在差异的主要原因是按实际发生额支出。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（2）城乡社区支出（类）城乡社区管理事务（款）一般行政管理事务（项）28.80万元,主要是雇员、派遣人员经费等支出，完成年初预算的96.58%，决算数与年初预算数存在差异的主要原因是按实际发生额支出。</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（3）城乡社区支出（类）城乡社区公共设施（款）其他城乡社区公共设施支出（项）121.36万元,主要是路内停车云平台经费等支出，完成年初预算的100%，决算数与年初预算数存在差异的主要原因是无差异。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（4）城乡社区支出（类）城乡社区环境卫生（款）城乡社区环境卫生（项）2546.81万元,主要是绿化、亮化工程款等支出，完成年初预算的100%，决算数与年初预算数存在差异的主要原因是无差异。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4.住房保障支出9.14万元，具体包括：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9.14万元,主要是住房公积金缴费等支出，完成年初预算的48.11%，决算数与年初预算数存在差异的主要原因是预算包含住房补贴，未缴纳，住房公积金缴费按实际发生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无此业务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83.93</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75.74</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8.19</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8.19</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比上年增加2.13万元，增长35.15%</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2023年通讯补贴和交通补贴均按8个月发放，2024年按全年发放</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75</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75</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具体而言，本年度我部门共组织对13个项目实施了绩效评价。从预算资金来源看，涉及一般公共预算的项目13个，涉及政府性基金预算的项目0个，涉及国有资本经营预算的项目0个。</w:t>
        <w:br/>
        <w:t xml:space="preserve">    上述评价工作共涉及财政资金2592.41万元。其中，一般公共预算资金2592.41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10个；得分在80分（含）至90分、等级为“良”的项目有0个；得分在60分（含）至80分、等级为“中”的项目有1个；得分在60分以下、等级为“差”的项目有2个。各项目自评发现，部分项目存在预算执行进度慢问题，如：党建活动经费等，已要求相关项目单位分析原因并制定改进措施。</w:t>
        <w:br/>
        <w:t xml:space="preserve">    3.部门重点评价情况及结果。</w:t>
        <w:br/>
        <w:t xml:space="preserve">    在全面自评的基础上，本部门选取了3个资金量大、社会关注度高、具有代表性的重点项目实施了部门重点评价。评价工作通过现场核查、数据采集分析等方式进行，确保了评价结果的客观性和公正性。</w:t>
        <w:br/>
        <w:t xml:space="preserve">    我部门组织对3个项目重点评价，结果显示，被评价项目整体绩效情况良好。其中：第一个重点项目为偿还拖欠企业欠款（城管局），涉及资金1652.91万元，评价平均分为100分，评级情况为优；第二个重点项目为公园保安服务费，涉及资金273.99万元，评价平均分为69分，评级情况为中；第三个重点项目为街路有机更新改造（一期）一标段，涉及资金365.7万元，评价平均分为100分，评级情况为优。同时，评价也发现党建活动经费、食堂燃气费2个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2,780.90</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8.64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3.12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2,760.00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9.14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2,780.90</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2,780.90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2,780.90</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2,780.90</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2,780.90</w:t>
            </w:r>
          </w:p>
        </w:tc>
        <w:tc>
          <w:tcPr>
            <w:tcW w:w="960" w:type="dxa"/>
            <w:tcBorders/>
            <w:vAlign w:val="center"/>
          </w:tcPr>
          <w:p>
            <w:pPr>
              <w:jc w:val="right"/>
            </w:pPr>
            <w:r>
              <w:rPr>
                <w:rFonts w:ascii="宋体" w:eastAsia="宋体" w:hAnsi="宋体" w:cs="宋体"/>
                <w:b/>
                <w:i w:val="0"/>
                <w:color w:val="000000"/>
                <w:sz w:val="13"/>
              </w:rPr>
              <w:t xml:space="preserve">2,780.90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8.64</w:t>
            </w:r>
          </w:p>
        </w:tc>
        <w:tc>
          <w:tcPr>
            <w:tcW w:w="960" w:type="dxa"/>
            <w:tcBorders/>
            <w:vAlign w:val="center"/>
          </w:tcPr>
          <w:p>
            <w:pPr>
              <w:jc w:val="right"/>
            </w:pPr>
            <w:r>
              <w:rPr>
                <w:rFonts w:ascii="宋体" w:eastAsia="宋体" w:hAnsi="宋体" w:cs="宋体"/>
                <w:b w:val="0"/>
                <w:i w:val="0"/>
                <w:color w:val="000000"/>
                <w:sz w:val="13"/>
              </w:rPr>
              <w:t xml:space="preserve">8.64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8.64</w:t>
            </w:r>
          </w:p>
        </w:tc>
        <w:tc>
          <w:tcPr>
            <w:tcW w:w="960" w:type="dxa"/>
            <w:tcBorders/>
            <w:vAlign w:val="center"/>
          </w:tcPr>
          <w:p>
            <w:pPr>
              <w:jc w:val="right"/>
            </w:pPr>
            <w:r>
              <w:rPr>
                <w:rFonts w:ascii="宋体" w:eastAsia="宋体" w:hAnsi="宋体" w:cs="宋体"/>
                <w:b w:val="0"/>
                <w:i w:val="0"/>
                <w:color w:val="000000"/>
                <w:sz w:val="13"/>
              </w:rPr>
              <w:t xml:space="preserve">8.64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jc w:val="right"/>
            </w:pPr>
            <w:r>
              <w:rPr>
                <w:rFonts w:ascii="宋体" w:eastAsia="宋体" w:hAnsi="宋体" w:cs="宋体"/>
                <w:b w:val="0"/>
                <w:i w:val="0"/>
                <w:color w:val="000000"/>
                <w:sz w:val="13"/>
              </w:rPr>
              <w:t xml:space="preserve">0.55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8.09</w:t>
            </w:r>
          </w:p>
        </w:tc>
        <w:tc>
          <w:tcPr>
            <w:tcW w:w="960" w:type="dxa"/>
            <w:tcBorders/>
            <w:vAlign w:val="center"/>
          </w:tcPr>
          <w:p>
            <w:pPr>
              <w:jc w:val="right"/>
            </w:pPr>
            <w:r>
              <w:rPr>
                <w:rFonts w:ascii="宋体" w:eastAsia="宋体" w:hAnsi="宋体" w:cs="宋体"/>
                <w:b w:val="0"/>
                <w:i w:val="0"/>
                <w:color w:val="000000"/>
                <w:sz w:val="13"/>
              </w:rPr>
              <w:t xml:space="preserve">8.09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jc w:val="right"/>
            </w:pPr>
            <w:r>
              <w:rPr>
                <w:rFonts w:ascii="宋体" w:eastAsia="宋体" w:hAnsi="宋体" w:cs="宋体"/>
                <w:b w:val="0"/>
                <w:i w:val="0"/>
                <w:color w:val="000000"/>
                <w:sz w:val="13"/>
              </w:rPr>
              <w:t xml:space="preserve">3.12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2,760.00</w:t>
            </w:r>
          </w:p>
        </w:tc>
        <w:tc>
          <w:tcPr>
            <w:tcW w:w="960" w:type="dxa"/>
            <w:tcBorders/>
            <w:vAlign w:val="center"/>
          </w:tcPr>
          <w:p>
            <w:pPr>
              <w:jc w:val="right"/>
            </w:pPr>
            <w:r>
              <w:rPr>
                <w:rFonts w:ascii="宋体" w:eastAsia="宋体" w:hAnsi="宋体" w:cs="宋体"/>
                <w:b w:val="0"/>
                <w:i w:val="0"/>
                <w:color w:val="000000"/>
                <w:sz w:val="13"/>
              </w:rPr>
              <w:t xml:space="preserve">2,760.00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w:t>
            </w:r>
          </w:p>
        </w:tc>
        <w:tc>
          <w:tcPr>
            <w:tcW w:w="3200" w:type="dxa"/>
            <w:tcBorders/>
            <w:vAlign w:val="center"/>
          </w:tcPr>
          <w:p>
            <w:pPr>
              <w:jc w:val="left"/>
            </w:pPr>
            <w:r>
              <w:rPr>
                <w:rFonts w:ascii="宋体" w:eastAsia="宋体" w:hAnsi="宋体" w:cs="宋体"/>
                <w:b w:val="0"/>
                <w:i w:val="0"/>
                <w:color w:val="000000"/>
                <w:sz w:val="13"/>
              </w:rPr>
              <w:t xml:space="preserve">城乡社区管理事务</w:t>
            </w:r>
          </w:p>
        </w:tc>
        <w:tc>
          <w:tcPr>
            <w:tcW w:w="960" w:type="dxa"/>
            <w:tcBorders/>
            <w:vAlign w:val="center"/>
          </w:tcPr>
          <w:p>
            <w:pPr>
              <w:jc w:val="right"/>
            </w:pPr>
            <w:r>
              <w:rPr>
                <w:rFonts w:ascii="宋体" w:eastAsia="宋体" w:hAnsi="宋体" w:cs="宋体"/>
                <w:b w:val="0"/>
                <w:i w:val="0"/>
                <w:color w:val="000000"/>
                <w:sz w:val="13"/>
              </w:rPr>
              <w:t xml:space="preserve">91.83</w:t>
            </w:r>
          </w:p>
        </w:tc>
        <w:tc>
          <w:tcPr>
            <w:tcW w:w="960" w:type="dxa"/>
            <w:tcBorders/>
            <w:vAlign w:val="center"/>
          </w:tcPr>
          <w:p>
            <w:pPr>
              <w:jc w:val="right"/>
            </w:pPr>
            <w:r>
              <w:rPr>
                <w:rFonts w:ascii="宋体" w:eastAsia="宋体" w:hAnsi="宋体" w:cs="宋体"/>
                <w:b w:val="0"/>
                <w:i w:val="0"/>
                <w:color w:val="000000"/>
                <w:sz w:val="13"/>
              </w:rPr>
              <w:t xml:space="preserve">91.83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63.03</w:t>
            </w:r>
          </w:p>
        </w:tc>
        <w:tc>
          <w:tcPr>
            <w:tcW w:w="960" w:type="dxa"/>
            <w:tcBorders/>
            <w:vAlign w:val="center"/>
          </w:tcPr>
          <w:p>
            <w:pPr>
              <w:jc w:val="right"/>
            </w:pPr>
            <w:r>
              <w:rPr>
                <w:rFonts w:ascii="宋体" w:eastAsia="宋体" w:hAnsi="宋体" w:cs="宋体"/>
                <w:b w:val="0"/>
                <w:i w:val="0"/>
                <w:color w:val="000000"/>
                <w:sz w:val="13"/>
              </w:rPr>
              <w:t xml:space="preserve">63.03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28.80</w:t>
            </w:r>
          </w:p>
        </w:tc>
        <w:tc>
          <w:tcPr>
            <w:tcW w:w="960" w:type="dxa"/>
            <w:tcBorders/>
            <w:vAlign w:val="center"/>
          </w:tcPr>
          <w:p>
            <w:pPr>
              <w:jc w:val="right"/>
            </w:pPr>
            <w:r>
              <w:rPr>
                <w:rFonts w:ascii="宋体" w:eastAsia="宋体" w:hAnsi="宋体" w:cs="宋体"/>
                <w:b w:val="0"/>
                <w:i w:val="0"/>
                <w:color w:val="000000"/>
                <w:sz w:val="13"/>
              </w:rPr>
              <w:t xml:space="preserve">28.80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w:t>
            </w:r>
          </w:p>
        </w:tc>
        <w:tc>
          <w:tcPr>
            <w:tcW w:w="3200" w:type="dxa"/>
            <w:tcBorders/>
            <w:vAlign w:val="center"/>
          </w:tcPr>
          <w:p>
            <w:pPr>
              <w:jc w:val="left"/>
            </w:pPr>
            <w:r>
              <w:rPr>
                <w:rFonts w:ascii="宋体" w:eastAsia="宋体" w:hAnsi="宋体" w:cs="宋体"/>
                <w:b w:val="0"/>
                <w:i w:val="0"/>
                <w:color w:val="000000"/>
                <w:sz w:val="13"/>
              </w:rPr>
              <w:t xml:space="preserve">城乡社区公共设施</w:t>
            </w:r>
          </w:p>
        </w:tc>
        <w:tc>
          <w:tcPr>
            <w:tcW w:w="960" w:type="dxa"/>
            <w:tcBorders/>
            <w:vAlign w:val="center"/>
          </w:tcPr>
          <w:p>
            <w:pPr>
              <w:jc w:val="right"/>
            </w:pPr>
            <w:r>
              <w:rPr>
                <w:rFonts w:ascii="宋体" w:eastAsia="宋体" w:hAnsi="宋体" w:cs="宋体"/>
                <w:b w:val="0"/>
                <w:i w:val="0"/>
                <w:color w:val="000000"/>
                <w:sz w:val="13"/>
              </w:rPr>
              <w:t xml:space="preserve">121.36</w:t>
            </w:r>
          </w:p>
        </w:tc>
        <w:tc>
          <w:tcPr>
            <w:tcW w:w="960" w:type="dxa"/>
            <w:tcBorders/>
            <w:vAlign w:val="center"/>
          </w:tcPr>
          <w:p>
            <w:pPr>
              <w:jc w:val="right"/>
            </w:pPr>
            <w:r>
              <w:rPr>
                <w:rFonts w:ascii="宋体" w:eastAsia="宋体" w:hAnsi="宋体" w:cs="宋体"/>
                <w:b w:val="0"/>
                <w:i w:val="0"/>
                <w:color w:val="000000"/>
                <w:sz w:val="13"/>
              </w:rPr>
              <w:t xml:space="preserve">121.36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2120399</w:t>
            </w:r>
          </w:p>
        </w:tc>
        <w:tc>
          <w:tcPr>
            <w:tcW w:w="3200" w:type="dxa"/>
            <w:tcBorders/>
            <w:vAlign w:val="center"/>
          </w:tcPr>
          <w:p>
            <w:pPr>
              <w:jc w:val="left"/>
            </w:pPr>
            <w:r>
              <w:rPr>
                <w:rFonts w:ascii="宋体" w:eastAsia="宋体" w:hAnsi="宋体" w:cs="宋体"/>
                <w:b w:val="0"/>
                <w:i w:val="0"/>
                <w:color w:val="000000"/>
                <w:sz w:val="13"/>
              </w:rPr>
              <w:t xml:space="preserve">其他城乡社区公共设施支出</w:t>
            </w:r>
          </w:p>
        </w:tc>
        <w:tc>
          <w:tcPr>
            <w:tcW w:w="960" w:type="dxa"/>
            <w:tcBorders/>
            <w:vAlign w:val="center"/>
          </w:tcPr>
          <w:p>
            <w:pPr>
              <w:jc w:val="right"/>
            </w:pPr>
            <w:r>
              <w:rPr>
                <w:rFonts w:ascii="宋体" w:eastAsia="宋体" w:hAnsi="宋体" w:cs="宋体"/>
                <w:b w:val="0"/>
                <w:i w:val="0"/>
                <w:color w:val="000000"/>
                <w:sz w:val="13"/>
              </w:rPr>
              <w:t xml:space="preserve">121.36</w:t>
            </w:r>
          </w:p>
        </w:tc>
        <w:tc>
          <w:tcPr>
            <w:tcW w:w="960" w:type="dxa"/>
            <w:tcBorders/>
            <w:vAlign w:val="center"/>
          </w:tcPr>
          <w:p>
            <w:pPr>
              <w:jc w:val="right"/>
            </w:pPr>
            <w:r>
              <w:rPr>
                <w:rFonts w:ascii="宋体" w:eastAsia="宋体" w:hAnsi="宋体" w:cs="宋体"/>
                <w:b w:val="0"/>
                <w:i w:val="0"/>
                <w:color w:val="000000"/>
                <w:sz w:val="13"/>
              </w:rPr>
              <w:t xml:space="preserve">121.36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2,546.81</w:t>
            </w:r>
          </w:p>
        </w:tc>
        <w:tc>
          <w:tcPr>
            <w:tcW w:w="960" w:type="dxa"/>
            <w:tcBorders/>
            <w:vAlign w:val="center"/>
          </w:tcPr>
          <w:p>
            <w:pPr>
              <w:jc w:val="right"/>
            </w:pPr>
            <w:r>
              <w:rPr>
                <w:rFonts w:ascii="宋体" w:eastAsia="宋体" w:hAnsi="宋体" w:cs="宋体"/>
                <w:b w:val="0"/>
                <w:i w:val="0"/>
                <w:color w:val="000000"/>
                <w:sz w:val="13"/>
              </w:rPr>
              <w:t xml:space="preserve">2,546.81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2120501</w:t>
            </w:r>
          </w:p>
        </w:tc>
        <w:tc>
          <w:tcPr>
            <w:tcW w:w="3200" w:type="dxa"/>
            <w:tcBorders/>
            <w:vAlign w:val="center"/>
          </w:tcPr>
          <w:p>
            <w:pPr>
              <w:jc w:val="left"/>
            </w:pPr>
            <w:r>
              <w:rPr>
                <w:rFonts w:ascii="宋体" w:eastAsia="宋体" w:hAnsi="宋体" w:cs="宋体"/>
                <w:b w:val="0"/>
                <w:i w:val="0"/>
                <w:color w:val="000000"/>
                <w:sz w:val="13"/>
              </w:rPr>
              <w:t xml:space="preserve">城乡社区环境卫生</w:t>
            </w:r>
          </w:p>
        </w:tc>
        <w:tc>
          <w:tcPr>
            <w:tcW w:w="960" w:type="dxa"/>
            <w:tcBorders/>
            <w:vAlign w:val="center"/>
          </w:tcPr>
          <w:p>
            <w:pPr>
              <w:jc w:val="right"/>
            </w:pPr>
            <w:r>
              <w:rPr>
                <w:rFonts w:ascii="宋体" w:eastAsia="宋体" w:hAnsi="宋体" w:cs="宋体"/>
                <w:b w:val="0"/>
                <w:i w:val="0"/>
                <w:color w:val="000000"/>
                <w:sz w:val="13"/>
              </w:rPr>
              <w:t xml:space="preserve">2,546.81</w:t>
            </w:r>
          </w:p>
        </w:tc>
        <w:tc>
          <w:tcPr>
            <w:tcW w:w="960" w:type="dxa"/>
            <w:tcBorders/>
            <w:vAlign w:val="center"/>
          </w:tcPr>
          <w:p>
            <w:pPr>
              <w:jc w:val="right"/>
            </w:pPr>
            <w:r>
              <w:rPr>
                <w:rFonts w:ascii="宋体" w:eastAsia="宋体" w:hAnsi="宋体" w:cs="宋体"/>
                <w:b w:val="0"/>
                <w:i w:val="0"/>
                <w:color w:val="000000"/>
                <w:sz w:val="13"/>
              </w:rPr>
              <w:t xml:space="preserve">2,546.81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9.14</w:t>
            </w:r>
          </w:p>
        </w:tc>
        <w:tc>
          <w:tcPr>
            <w:tcW w:w="960" w:type="dxa"/>
            <w:tcBorders/>
            <w:vAlign w:val="center"/>
          </w:tcPr>
          <w:p>
            <w:pPr>
              <w:jc w:val="right"/>
            </w:pPr>
            <w:r>
              <w:rPr>
                <w:rFonts w:ascii="宋体" w:eastAsia="宋体" w:hAnsi="宋体" w:cs="宋体"/>
                <w:b w:val="0"/>
                <w:i w:val="0"/>
                <w:color w:val="000000"/>
                <w:sz w:val="13"/>
              </w:rPr>
              <w:t xml:space="preserve">9.14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9.14</w:t>
            </w:r>
          </w:p>
        </w:tc>
        <w:tc>
          <w:tcPr>
            <w:tcW w:w="960" w:type="dxa"/>
            <w:tcBorders/>
            <w:vAlign w:val="center"/>
          </w:tcPr>
          <w:p>
            <w:pPr>
              <w:jc w:val="right"/>
            </w:pPr>
            <w:r>
              <w:rPr>
                <w:rFonts w:ascii="宋体" w:eastAsia="宋体" w:hAnsi="宋体" w:cs="宋体"/>
                <w:b w:val="0"/>
                <w:i w:val="0"/>
                <w:color w:val="000000"/>
                <w:sz w:val="13"/>
              </w:rPr>
              <w:t xml:space="preserve">9.14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9.14</w:t>
            </w:r>
          </w:p>
        </w:tc>
        <w:tc>
          <w:tcPr>
            <w:tcW w:w="960" w:type="dxa"/>
            <w:tcBorders/>
            <w:vAlign w:val="center"/>
          </w:tcPr>
          <w:p>
            <w:pPr>
              <w:jc w:val="right"/>
            </w:pPr>
            <w:r>
              <w:rPr>
                <w:rFonts w:ascii="宋体" w:eastAsia="宋体" w:hAnsi="宋体" w:cs="宋体"/>
                <w:b w:val="0"/>
                <w:i w:val="0"/>
                <w:color w:val="000000"/>
                <w:sz w:val="13"/>
              </w:rPr>
              <w:t xml:space="preserve">9.14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2,780.90</w:t>
            </w:r>
          </w:p>
        </w:tc>
        <w:tc>
          <w:tcPr>
            <w:tcW w:w="1060" w:type="dxa"/>
            <w:tcBorders/>
            <w:vAlign w:val="center"/>
          </w:tcPr>
          <w:p>
            <w:pPr>
              <w:jc w:val="right"/>
            </w:pPr>
            <w:r>
              <w:rPr>
                <w:rFonts w:ascii="宋体" w:eastAsia="宋体" w:hAnsi="宋体" w:cs="宋体"/>
                <w:b/>
                <w:i w:val="0"/>
                <w:color w:val="000000"/>
                <w:sz w:val="14"/>
              </w:rPr>
              <w:t xml:space="preserve">83.92</w:t>
            </w:r>
          </w:p>
        </w:tc>
        <w:tc>
          <w:tcPr>
            <w:tcW w:w="1060" w:type="dxa"/>
            <w:tcBorders/>
            <w:vAlign w:val="center"/>
          </w:tcPr>
          <w:p>
            <w:pPr>
              <w:jc w:val="right"/>
            </w:pPr>
            <w:r>
              <w:rPr>
                <w:rFonts w:ascii="宋体" w:eastAsia="宋体" w:hAnsi="宋体" w:cs="宋体"/>
                <w:b/>
                <w:i w:val="0"/>
                <w:color w:val="000000"/>
                <w:sz w:val="14"/>
              </w:rPr>
              <w:t xml:space="preserve">2,696.98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8.64</w:t>
            </w:r>
          </w:p>
        </w:tc>
        <w:tc>
          <w:tcPr>
            <w:tcW w:w="1060" w:type="dxa"/>
            <w:tcBorders/>
            <w:vAlign w:val="center"/>
          </w:tcPr>
          <w:p>
            <w:pPr>
              <w:jc w:val="right"/>
            </w:pPr>
            <w:r>
              <w:rPr>
                <w:rFonts w:ascii="宋体" w:eastAsia="宋体" w:hAnsi="宋体" w:cs="宋体"/>
                <w:b w:val="0"/>
                <w:i w:val="0"/>
                <w:color w:val="000000"/>
                <w:sz w:val="14"/>
              </w:rPr>
              <w:t xml:space="preserve">8.64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8.64</w:t>
            </w:r>
          </w:p>
        </w:tc>
        <w:tc>
          <w:tcPr>
            <w:tcW w:w="1060" w:type="dxa"/>
            <w:tcBorders/>
            <w:vAlign w:val="center"/>
          </w:tcPr>
          <w:p>
            <w:pPr>
              <w:jc w:val="right"/>
            </w:pPr>
            <w:r>
              <w:rPr>
                <w:rFonts w:ascii="宋体" w:eastAsia="宋体" w:hAnsi="宋体" w:cs="宋体"/>
                <w:b w:val="0"/>
                <w:i w:val="0"/>
                <w:color w:val="000000"/>
                <w:sz w:val="14"/>
              </w:rPr>
              <w:t xml:space="preserve">8.64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jc w:val="right"/>
            </w:pPr>
            <w:r>
              <w:rPr>
                <w:rFonts w:ascii="宋体" w:eastAsia="宋体" w:hAnsi="宋体" w:cs="宋体"/>
                <w:b w:val="0"/>
                <w:i w:val="0"/>
                <w:color w:val="000000"/>
                <w:sz w:val="14"/>
              </w:rPr>
              <w:t xml:space="preserve">0.55</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8.09</w:t>
            </w:r>
          </w:p>
        </w:tc>
        <w:tc>
          <w:tcPr>
            <w:tcW w:w="1060" w:type="dxa"/>
            <w:tcBorders/>
            <w:vAlign w:val="center"/>
          </w:tcPr>
          <w:p>
            <w:pPr>
              <w:jc w:val="right"/>
            </w:pPr>
            <w:r>
              <w:rPr>
                <w:rFonts w:ascii="宋体" w:eastAsia="宋体" w:hAnsi="宋体" w:cs="宋体"/>
                <w:b w:val="0"/>
                <w:i w:val="0"/>
                <w:color w:val="000000"/>
                <w:sz w:val="14"/>
              </w:rPr>
              <w:t xml:space="preserve">8.09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jc w:val="right"/>
            </w:pPr>
            <w:r>
              <w:rPr>
                <w:rFonts w:ascii="宋体" w:eastAsia="宋体" w:hAnsi="宋体" w:cs="宋体"/>
                <w:b w:val="0"/>
                <w:i w:val="0"/>
                <w:color w:val="000000"/>
                <w:sz w:val="14"/>
              </w:rPr>
              <w:t xml:space="preserve">3.12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2,760.00</w:t>
            </w:r>
          </w:p>
        </w:tc>
        <w:tc>
          <w:tcPr>
            <w:tcW w:w="1060" w:type="dxa"/>
            <w:tcBorders/>
            <w:vAlign w:val="center"/>
          </w:tcPr>
          <w:p>
            <w:pPr>
              <w:jc w:val="right"/>
            </w:pPr>
            <w:r>
              <w:rPr>
                <w:rFonts w:ascii="宋体" w:eastAsia="宋体" w:hAnsi="宋体" w:cs="宋体"/>
                <w:b w:val="0"/>
                <w:i w:val="0"/>
                <w:color w:val="000000"/>
                <w:sz w:val="14"/>
              </w:rPr>
              <w:t xml:space="preserve">63.03</w:t>
            </w:r>
          </w:p>
        </w:tc>
        <w:tc>
          <w:tcPr>
            <w:tcW w:w="1060" w:type="dxa"/>
            <w:tcBorders/>
            <w:vAlign w:val="center"/>
          </w:tcPr>
          <w:p>
            <w:pPr>
              <w:jc w:val="right"/>
            </w:pPr>
            <w:r>
              <w:rPr>
                <w:rFonts w:ascii="宋体" w:eastAsia="宋体" w:hAnsi="宋体" w:cs="宋体"/>
                <w:b w:val="0"/>
                <w:i w:val="0"/>
                <w:color w:val="000000"/>
                <w:sz w:val="14"/>
              </w:rPr>
              <w:t xml:space="preserve">2,696.97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w:t>
            </w:r>
          </w:p>
        </w:tc>
        <w:tc>
          <w:tcPr>
            <w:tcW w:w="3440" w:type="dxa"/>
            <w:tcBorders/>
            <w:vAlign w:val="center"/>
          </w:tcPr>
          <w:p>
            <w:pPr>
              <w:jc w:val="left"/>
            </w:pPr>
            <w:r>
              <w:rPr>
                <w:rFonts w:ascii="宋体" w:eastAsia="宋体" w:hAnsi="宋体" w:cs="宋体"/>
                <w:b w:val="0"/>
                <w:i w:val="0"/>
                <w:color w:val="000000"/>
                <w:sz w:val="14"/>
              </w:rPr>
              <w:t xml:space="preserve">城乡社区管理事务</w:t>
            </w:r>
          </w:p>
        </w:tc>
        <w:tc>
          <w:tcPr>
            <w:tcW w:w="1060" w:type="dxa"/>
            <w:tcBorders/>
            <w:vAlign w:val="center"/>
          </w:tcPr>
          <w:p>
            <w:pPr>
              <w:jc w:val="right"/>
            </w:pPr>
            <w:r>
              <w:rPr>
                <w:rFonts w:ascii="宋体" w:eastAsia="宋体" w:hAnsi="宋体" w:cs="宋体"/>
                <w:b w:val="0"/>
                <w:i w:val="0"/>
                <w:color w:val="000000"/>
                <w:sz w:val="14"/>
              </w:rPr>
              <w:t xml:space="preserve">91.83</w:t>
            </w:r>
          </w:p>
        </w:tc>
        <w:tc>
          <w:tcPr>
            <w:tcW w:w="1060" w:type="dxa"/>
            <w:tcBorders/>
            <w:vAlign w:val="center"/>
          </w:tcPr>
          <w:p>
            <w:pPr>
              <w:jc w:val="right"/>
            </w:pPr>
            <w:r>
              <w:rPr>
                <w:rFonts w:ascii="宋体" w:eastAsia="宋体" w:hAnsi="宋体" w:cs="宋体"/>
                <w:b w:val="0"/>
                <w:i w:val="0"/>
                <w:color w:val="000000"/>
                <w:sz w:val="14"/>
              </w:rPr>
              <w:t xml:space="preserve">63.03</w:t>
            </w:r>
          </w:p>
        </w:tc>
        <w:tc>
          <w:tcPr>
            <w:tcW w:w="1060" w:type="dxa"/>
            <w:tcBorders/>
            <w:vAlign w:val="center"/>
          </w:tcPr>
          <w:p>
            <w:pPr>
              <w:jc w:val="right"/>
            </w:pPr>
            <w:r>
              <w:rPr>
                <w:rFonts w:ascii="宋体" w:eastAsia="宋体" w:hAnsi="宋体" w:cs="宋体"/>
                <w:b w:val="0"/>
                <w:i w:val="0"/>
                <w:color w:val="000000"/>
                <w:sz w:val="14"/>
              </w:rPr>
              <w:t xml:space="preserve">28.80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63.03</w:t>
            </w:r>
          </w:p>
        </w:tc>
        <w:tc>
          <w:tcPr>
            <w:tcW w:w="1060" w:type="dxa"/>
            <w:tcBorders/>
            <w:vAlign w:val="center"/>
          </w:tcPr>
          <w:p>
            <w:pPr>
              <w:jc w:val="right"/>
            </w:pPr>
            <w:r>
              <w:rPr>
                <w:rFonts w:ascii="宋体" w:eastAsia="宋体" w:hAnsi="宋体" w:cs="宋体"/>
                <w:b w:val="0"/>
                <w:i w:val="0"/>
                <w:color w:val="000000"/>
                <w:sz w:val="14"/>
              </w:rPr>
              <w:t xml:space="preserve">63.03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28.80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28.80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w:t>
            </w:r>
          </w:p>
        </w:tc>
        <w:tc>
          <w:tcPr>
            <w:tcW w:w="3440" w:type="dxa"/>
            <w:tcBorders/>
            <w:vAlign w:val="center"/>
          </w:tcPr>
          <w:p>
            <w:pPr>
              <w:jc w:val="left"/>
            </w:pPr>
            <w:r>
              <w:rPr>
                <w:rFonts w:ascii="宋体" w:eastAsia="宋体" w:hAnsi="宋体" w:cs="宋体"/>
                <w:b w:val="0"/>
                <w:i w:val="0"/>
                <w:color w:val="000000"/>
                <w:sz w:val="14"/>
              </w:rPr>
              <w:t xml:space="preserve">城乡社区公共设施</w:t>
            </w:r>
          </w:p>
        </w:tc>
        <w:tc>
          <w:tcPr>
            <w:tcW w:w="1060" w:type="dxa"/>
            <w:tcBorders/>
            <w:vAlign w:val="center"/>
          </w:tcPr>
          <w:p>
            <w:pPr>
              <w:jc w:val="right"/>
            </w:pPr>
            <w:r>
              <w:rPr>
                <w:rFonts w:ascii="宋体" w:eastAsia="宋体" w:hAnsi="宋体" w:cs="宋体"/>
                <w:b w:val="0"/>
                <w:i w:val="0"/>
                <w:color w:val="000000"/>
                <w:sz w:val="14"/>
              </w:rPr>
              <w:t xml:space="preserve">121.36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121.36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2120399</w:t>
            </w:r>
          </w:p>
        </w:tc>
        <w:tc>
          <w:tcPr>
            <w:tcW w:w="3440" w:type="dxa"/>
            <w:tcBorders/>
            <w:vAlign w:val="center"/>
          </w:tcPr>
          <w:p>
            <w:pPr>
              <w:jc w:val="left"/>
            </w:pPr>
            <w:r>
              <w:rPr>
                <w:rFonts w:ascii="宋体" w:eastAsia="宋体" w:hAnsi="宋体" w:cs="宋体"/>
                <w:b w:val="0"/>
                <w:i w:val="0"/>
                <w:color w:val="000000"/>
                <w:sz w:val="14"/>
              </w:rPr>
              <w:t xml:space="preserve">其他城乡社区公共设施支出</w:t>
            </w:r>
          </w:p>
        </w:tc>
        <w:tc>
          <w:tcPr>
            <w:tcW w:w="1060" w:type="dxa"/>
            <w:tcBorders/>
            <w:vAlign w:val="center"/>
          </w:tcPr>
          <w:p>
            <w:pPr>
              <w:jc w:val="right"/>
            </w:pPr>
            <w:r>
              <w:rPr>
                <w:rFonts w:ascii="宋体" w:eastAsia="宋体" w:hAnsi="宋体" w:cs="宋体"/>
                <w:b w:val="0"/>
                <w:i w:val="0"/>
                <w:color w:val="000000"/>
                <w:sz w:val="14"/>
              </w:rPr>
              <w:t xml:space="preserve">121.36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121.36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2,546.81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2,546.81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2120501</w:t>
            </w:r>
          </w:p>
        </w:tc>
        <w:tc>
          <w:tcPr>
            <w:tcW w:w="3440" w:type="dxa"/>
            <w:tcBorders/>
            <w:vAlign w:val="center"/>
          </w:tcPr>
          <w:p>
            <w:pPr>
              <w:jc w:val="left"/>
            </w:pPr>
            <w:r>
              <w:rPr>
                <w:rFonts w:ascii="宋体" w:eastAsia="宋体" w:hAnsi="宋体" w:cs="宋体"/>
                <w:b w:val="0"/>
                <w:i w:val="0"/>
                <w:color w:val="000000"/>
                <w:sz w:val="14"/>
              </w:rPr>
              <w:t xml:space="preserve">城乡社区环境卫生</w:t>
            </w:r>
          </w:p>
        </w:tc>
        <w:tc>
          <w:tcPr>
            <w:tcW w:w="1060" w:type="dxa"/>
            <w:tcBorders/>
            <w:vAlign w:val="center"/>
          </w:tcPr>
          <w:p>
            <w:pPr>
              <w:jc w:val="right"/>
            </w:pPr>
            <w:r>
              <w:rPr>
                <w:rFonts w:ascii="宋体" w:eastAsia="宋体" w:hAnsi="宋体" w:cs="宋体"/>
                <w:b w:val="0"/>
                <w:i w:val="0"/>
                <w:color w:val="000000"/>
                <w:sz w:val="14"/>
              </w:rPr>
              <w:t xml:space="preserve">2,546.81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2,546.81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9.14</w:t>
            </w:r>
          </w:p>
        </w:tc>
        <w:tc>
          <w:tcPr>
            <w:tcW w:w="1060" w:type="dxa"/>
            <w:tcBorders/>
            <w:vAlign w:val="center"/>
          </w:tcPr>
          <w:p>
            <w:pPr>
              <w:jc w:val="right"/>
            </w:pPr>
            <w:r>
              <w:rPr>
                <w:rFonts w:ascii="宋体" w:eastAsia="宋体" w:hAnsi="宋体" w:cs="宋体"/>
                <w:b w:val="0"/>
                <w:i w:val="0"/>
                <w:color w:val="000000"/>
                <w:sz w:val="14"/>
              </w:rPr>
              <w:t xml:space="preserve">9.14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9.14</w:t>
            </w:r>
          </w:p>
        </w:tc>
        <w:tc>
          <w:tcPr>
            <w:tcW w:w="1060" w:type="dxa"/>
            <w:tcBorders/>
            <w:vAlign w:val="center"/>
          </w:tcPr>
          <w:p>
            <w:pPr>
              <w:jc w:val="right"/>
            </w:pPr>
            <w:r>
              <w:rPr>
                <w:rFonts w:ascii="宋体" w:eastAsia="宋体" w:hAnsi="宋体" w:cs="宋体"/>
                <w:b w:val="0"/>
                <w:i w:val="0"/>
                <w:color w:val="000000"/>
                <w:sz w:val="14"/>
              </w:rPr>
              <w:t xml:space="preserve">9.14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9.14</w:t>
            </w:r>
          </w:p>
        </w:tc>
        <w:tc>
          <w:tcPr>
            <w:tcW w:w="1060" w:type="dxa"/>
            <w:tcBorders/>
            <w:vAlign w:val="center"/>
          </w:tcPr>
          <w:p>
            <w:pPr>
              <w:jc w:val="right"/>
            </w:pPr>
            <w:r>
              <w:rPr>
                <w:rFonts w:ascii="宋体" w:eastAsia="宋体" w:hAnsi="宋体" w:cs="宋体"/>
                <w:b w:val="0"/>
                <w:i w:val="0"/>
                <w:color w:val="000000"/>
                <w:sz w:val="14"/>
              </w:rPr>
              <w:t xml:space="preserve">9.14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2,780.90</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8.64</w:t>
            </w:r>
          </w:p>
        </w:tc>
        <w:tc>
          <w:tcPr>
            <w:tcW w:w="1100" w:type="dxa"/>
            <w:tcBorders/>
            <w:vAlign w:val="center"/>
          </w:tcPr>
          <w:p>
            <w:pPr>
              <w:jc w:val="right"/>
            </w:pPr>
            <w:r>
              <w:rPr>
                <w:rFonts w:ascii="宋体" w:eastAsia="宋体" w:hAnsi="宋体" w:cs="宋体"/>
                <w:b w:val="0"/>
                <w:i w:val="0"/>
                <w:color w:val="000000"/>
                <w:sz w:val="14"/>
              </w:rPr>
              <w:t xml:space="preserve">8.64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3.12</w:t>
            </w:r>
          </w:p>
        </w:tc>
        <w:tc>
          <w:tcPr>
            <w:tcW w:w="1100" w:type="dxa"/>
            <w:tcBorders/>
            <w:vAlign w:val="center"/>
          </w:tcPr>
          <w:p>
            <w:pPr>
              <w:jc w:val="right"/>
            </w:pPr>
            <w:r>
              <w:rPr>
                <w:rFonts w:ascii="宋体" w:eastAsia="宋体" w:hAnsi="宋体" w:cs="宋体"/>
                <w:b w:val="0"/>
                <w:i w:val="0"/>
                <w:color w:val="000000"/>
                <w:sz w:val="14"/>
              </w:rPr>
              <w:t xml:space="preserve">3.12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2,760.00</w:t>
            </w:r>
          </w:p>
        </w:tc>
        <w:tc>
          <w:tcPr>
            <w:tcW w:w="1100" w:type="dxa"/>
            <w:tcBorders/>
            <w:vAlign w:val="center"/>
          </w:tcPr>
          <w:p>
            <w:pPr>
              <w:jc w:val="right"/>
            </w:pPr>
            <w:r>
              <w:rPr>
                <w:rFonts w:ascii="宋体" w:eastAsia="宋体" w:hAnsi="宋体" w:cs="宋体"/>
                <w:b w:val="0"/>
                <w:i w:val="0"/>
                <w:color w:val="000000"/>
                <w:sz w:val="14"/>
              </w:rPr>
              <w:t xml:space="preserve">2,760.00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9.14</w:t>
            </w:r>
          </w:p>
        </w:tc>
        <w:tc>
          <w:tcPr>
            <w:tcW w:w="1100" w:type="dxa"/>
            <w:tcBorders/>
            <w:vAlign w:val="center"/>
          </w:tcPr>
          <w:p>
            <w:pPr>
              <w:jc w:val="right"/>
            </w:pPr>
            <w:r>
              <w:rPr>
                <w:rFonts w:ascii="宋体" w:eastAsia="宋体" w:hAnsi="宋体" w:cs="宋体"/>
                <w:b w:val="0"/>
                <w:i w:val="0"/>
                <w:color w:val="000000"/>
                <w:sz w:val="14"/>
              </w:rPr>
              <w:t xml:space="preserve">9.14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2,780.90</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2,780.90</w:t>
            </w:r>
          </w:p>
        </w:tc>
        <w:tc>
          <w:tcPr>
            <w:tcW w:w="1100" w:type="dxa"/>
            <w:tcBorders/>
            <w:vAlign w:val="center"/>
          </w:tcPr>
          <w:p>
            <w:pPr>
              <w:jc w:val="right"/>
            </w:pPr>
            <w:r>
              <w:rPr>
                <w:rFonts w:ascii="宋体" w:eastAsia="宋体" w:hAnsi="宋体" w:cs="宋体"/>
                <w:b w:val="0"/>
                <w:i w:val="0"/>
                <w:color w:val="000000"/>
                <w:sz w:val="14"/>
              </w:rPr>
              <w:t xml:space="preserve">2,780.90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2,780.90</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2,780.90</w:t>
            </w:r>
          </w:p>
        </w:tc>
        <w:tc>
          <w:tcPr>
            <w:tcW w:w="1100" w:type="dxa"/>
            <w:tcBorders/>
            <w:vAlign w:val="center"/>
          </w:tcPr>
          <w:p>
            <w:pPr>
              <w:jc w:val="right"/>
            </w:pPr>
            <w:r>
              <w:rPr>
                <w:rFonts w:ascii="宋体" w:eastAsia="宋体" w:hAnsi="宋体" w:cs="宋体"/>
                <w:b w:val="0"/>
                <w:i w:val="0"/>
                <w:color w:val="000000"/>
                <w:sz w:val="14"/>
              </w:rPr>
              <w:t xml:space="preserve">2,780.90</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2,780.90</w:t>
            </w:r>
          </w:p>
        </w:tc>
        <w:tc>
          <w:tcPr>
            <w:tcW w:w="1780" w:type="dxa"/>
            <w:tcBorders/>
            <w:vAlign w:val="center"/>
          </w:tcPr>
          <w:p>
            <w:pPr>
              <w:jc w:val="right"/>
            </w:pPr>
            <w:r>
              <w:rPr>
                <w:rFonts w:ascii="宋体" w:eastAsia="宋体" w:hAnsi="宋体" w:cs="宋体"/>
                <w:b/>
                <w:i w:val="0"/>
                <w:color w:val="000000"/>
                <w:sz w:val="18"/>
              </w:rPr>
              <w:t xml:space="preserve">83.92</w:t>
            </w:r>
          </w:p>
        </w:tc>
        <w:tc>
          <w:tcPr>
            <w:tcW w:w="1772" w:type="dxa"/>
            <w:tcBorders/>
            <w:vAlign w:val="center"/>
          </w:tcPr>
          <w:p>
            <w:pPr>
              <w:jc w:val="right"/>
            </w:pPr>
            <w:r>
              <w:rPr>
                <w:rFonts w:ascii="宋体" w:eastAsia="宋体" w:hAnsi="宋体" w:cs="宋体"/>
                <w:b/>
                <w:i w:val="0"/>
                <w:color w:val="000000"/>
                <w:sz w:val="18"/>
              </w:rPr>
              <w:t xml:space="preserve">2,696.98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8.64</w:t>
            </w:r>
          </w:p>
        </w:tc>
        <w:tc>
          <w:tcPr>
            <w:tcW w:w="1780" w:type="dxa"/>
            <w:tcBorders/>
            <w:vAlign w:val="center"/>
          </w:tcPr>
          <w:p>
            <w:pPr>
              <w:jc w:val="right"/>
            </w:pPr>
            <w:r>
              <w:rPr>
                <w:rFonts w:ascii="宋体" w:eastAsia="宋体" w:hAnsi="宋体" w:cs="宋体"/>
                <w:b w:val="0"/>
                <w:i w:val="0"/>
                <w:color w:val="000000"/>
                <w:sz w:val="18"/>
              </w:rPr>
              <w:t xml:space="preserve">8.64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8.64</w:t>
            </w:r>
          </w:p>
        </w:tc>
        <w:tc>
          <w:tcPr>
            <w:tcW w:w="1780" w:type="dxa"/>
            <w:tcBorders/>
            <w:vAlign w:val="center"/>
          </w:tcPr>
          <w:p>
            <w:pPr>
              <w:jc w:val="right"/>
            </w:pPr>
            <w:r>
              <w:rPr>
                <w:rFonts w:ascii="宋体" w:eastAsia="宋体" w:hAnsi="宋体" w:cs="宋体"/>
                <w:b w:val="0"/>
                <w:i w:val="0"/>
                <w:color w:val="000000"/>
                <w:sz w:val="18"/>
              </w:rPr>
              <w:t xml:space="preserve">8.64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80" w:type="dxa"/>
            <w:tcBorders/>
            <w:vAlign w:val="center"/>
          </w:tcPr>
          <w:p>
            <w:pPr>
              <w:jc w:val="right"/>
            </w:pPr>
            <w:r>
              <w:rPr>
                <w:rFonts w:ascii="宋体" w:eastAsia="宋体" w:hAnsi="宋体" w:cs="宋体"/>
                <w:b w:val="0"/>
                <w:i w:val="0"/>
                <w:color w:val="000000"/>
                <w:sz w:val="18"/>
              </w:rPr>
              <w:t xml:space="preserve">0.55</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8.09</w:t>
            </w:r>
          </w:p>
        </w:tc>
        <w:tc>
          <w:tcPr>
            <w:tcW w:w="1780" w:type="dxa"/>
            <w:tcBorders/>
            <w:vAlign w:val="center"/>
          </w:tcPr>
          <w:p>
            <w:pPr>
              <w:jc w:val="right"/>
            </w:pPr>
            <w:r>
              <w:rPr>
                <w:rFonts w:ascii="宋体" w:eastAsia="宋体" w:hAnsi="宋体" w:cs="宋体"/>
                <w:b w:val="0"/>
                <w:i w:val="0"/>
                <w:color w:val="000000"/>
                <w:sz w:val="18"/>
              </w:rPr>
              <w:t xml:space="preserve">8.09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3.12</w:t>
            </w:r>
          </w:p>
        </w:tc>
        <w:tc>
          <w:tcPr>
            <w:tcW w:w="1780" w:type="dxa"/>
            <w:tcBorders/>
            <w:vAlign w:val="center"/>
          </w:tcPr>
          <w:p>
            <w:pPr>
              <w:jc w:val="right"/>
            </w:pPr>
            <w:r>
              <w:rPr>
                <w:rFonts w:ascii="宋体" w:eastAsia="宋体" w:hAnsi="宋体" w:cs="宋体"/>
                <w:b w:val="0"/>
                <w:i w:val="0"/>
                <w:color w:val="000000"/>
                <w:sz w:val="18"/>
              </w:rPr>
              <w:t xml:space="preserve">3.12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3.12</w:t>
            </w:r>
          </w:p>
        </w:tc>
        <w:tc>
          <w:tcPr>
            <w:tcW w:w="1780" w:type="dxa"/>
            <w:tcBorders/>
            <w:vAlign w:val="center"/>
          </w:tcPr>
          <w:p>
            <w:pPr>
              <w:jc w:val="right"/>
            </w:pPr>
            <w:r>
              <w:rPr>
                <w:rFonts w:ascii="宋体" w:eastAsia="宋体" w:hAnsi="宋体" w:cs="宋体"/>
                <w:b w:val="0"/>
                <w:i w:val="0"/>
                <w:color w:val="000000"/>
                <w:sz w:val="18"/>
              </w:rPr>
              <w:t xml:space="preserve">3.12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3.12</w:t>
            </w:r>
          </w:p>
        </w:tc>
        <w:tc>
          <w:tcPr>
            <w:tcW w:w="1780" w:type="dxa"/>
            <w:tcBorders/>
            <w:vAlign w:val="center"/>
          </w:tcPr>
          <w:p>
            <w:pPr>
              <w:jc w:val="right"/>
            </w:pPr>
            <w:r>
              <w:rPr>
                <w:rFonts w:ascii="宋体" w:eastAsia="宋体" w:hAnsi="宋体" w:cs="宋体"/>
                <w:b w:val="0"/>
                <w:i w:val="0"/>
                <w:color w:val="000000"/>
                <w:sz w:val="18"/>
              </w:rPr>
              <w:t xml:space="preserve">3.12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2,760.00</w:t>
            </w:r>
          </w:p>
        </w:tc>
        <w:tc>
          <w:tcPr>
            <w:tcW w:w="1780" w:type="dxa"/>
            <w:tcBorders/>
            <w:vAlign w:val="center"/>
          </w:tcPr>
          <w:p>
            <w:pPr>
              <w:jc w:val="right"/>
            </w:pPr>
            <w:r>
              <w:rPr>
                <w:rFonts w:ascii="宋体" w:eastAsia="宋体" w:hAnsi="宋体" w:cs="宋体"/>
                <w:b w:val="0"/>
                <w:i w:val="0"/>
                <w:color w:val="000000"/>
                <w:sz w:val="18"/>
              </w:rPr>
              <w:t xml:space="preserve">63.03</w:t>
            </w:r>
          </w:p>
        </w:tc>
        <w:tc>
          <w:tcPr>
            <w:tcW w:w="1772" w:type="dxa"/>
            <w:tcBorders/>
            <w:vAlign w:val="center"/>
          </w:tcPr>
          <w:p>
            <w:pPr>
              <w:jc w:val="right"/>
            </w:pPr>
            <w:r>
              <w:rPr>
                <w:rFonts w:ascii="宋体" w:eastAsia="宋体" w:hAnsi="宋体" w:cs="宋体"/>
                <w:b w:val="0"/>
                <w:i w:val="0"/>
                <w:color w:val="000000"/>
                <w:sz w:val="18"/>
              </w:rPr>
              <w:t xml:space="preserve">2,696.97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w:t>
            </w:r>
          </w:p>
        </w:tc>
        <w:tc>
          <w:tcPr>
            <w:tcW w:w="4300" w:type="dxa"/>
            <w:tcBorders/>
            <w:vAlign w:val="center"/>
          </w:tcPr>
          <w:p>
            <w:pPr>
              <w:jc w:val="left"/>
            </w:pPr>
            <w:r>
              <w:rPr>
                <w:rFonts w:ascii="宋体" w:eastAsia="宋体" w:hAnsi="宋体" w:cs="宋体"/>
                <w:b w:val="0"/>
                <w:i w:val="0"/>
                <w:color w:val="000000"/>
                <w:sz w:val="18"/>
              </w:rPr>
              <w:t xml:space="preserve">城乡社区管理事务</w:t>
            </w:r>
          </w:p>
        </w:tc>
        <w:tc>
          <w:tcPr>
            <w:tcW w:w="1780" w:type="dxa"/>
            <w:tcBorders/>
            <w:vAlign w:val="center"/>
          </w:tcPr>
          <w:p>
            <w:pPr>
              <w:jc w:val="right"/>
            </w:pPr>
            <w:r>
              <w:rPr>
                <w:rFonts w:ascii="宋体" w:eastAsia="宋体" w:hAnsi="宋体" w:cs="宋体"/>
                <w:b w:val="0"/>
                <w:i w:val="0"/>
                <w:color w:val="000000"/>
                <w:sz w:val="18"/>
              </w:rPr>
              <w:t xml:space="preserve">91.83</w:t>
            </w:r>
          </w:p>
        </w:tc>
        <w:tc>
          <w:tcPr>
            <w:tcW w:w="1780" w:type="dxa"/>
            <w:tcBorders/>
            <w:vAlign w:val="center"/>
          </w:tcPr>
          <w:p>
            <w:pPr>
              <w:jc w:val="right"/>
            </w:pPr>
            <w:r>
              <w:rPr>
                <w:rFonts w:ascii="宋体" w:eastAsia="宋体" w:hAnsi="宋体" w:cs="宋体"/>
                <w:b w:val="0"/>
                <w:i w:val="0"/>
                <w:color w:val="000000"/>
                <w:sz w:val="18"/>
              </w:rPr>
              <w:t xml:space="preserve">63.03</w:t>
            </w:r>
          </w:p>
        </w:tc>
        <w:tc>
          <w:tcPr>
            <w:tcW w:w="1772" w:type="dxa"/>
            <w:tcBorders/>
            <w:vAlign w:val="center"/>
          </w:tcPr>
          <w:p>
            <w:pPr>
              <w:jc w:val="right"/>
            </w:pPr>
            <w:r>
              <w:rPr>
                <w:rFonts w:ascii="宋体" w:eastAsia="宋体" w:hAnsi="宋体" w:cs="宋体"/>
                <w:b w:val="0"/>
                <w:i w:val="0"/>
                <w:color w:val="000000"/>
                <w:sz w:val="18"/>
              </w:rPr>
              <w:t xml:space="preserve">28.80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63.03</w:t>
            </w:r>
          </w:p>
        </w:tc>
        <w:tc>
          <w:tcPr>
            <w:tcW w:w="1780" w:type="dxa"/>
            <w:tcBorders/>
            <w:vAlign w:val="center"/>
          </w:tcPr>
          <w:p>
            <w:pPr>
              <w:jc w:val="right"/>
            </w:pPr>
            <w:r>
              <w:rPr>
                <w:rFonts w:ascii="宋体" w:eastAsia="宋体" w:hAnsi="宋体" w:cs="宋体"/>
                <w:b w:val="0"/>
                <w:i w:val="0"/>
                <w:color w:val="000000"/>
                <w:sz w:val="18"/>
              </w:rPr>
              <w:t xml:space="preserve">63.03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28.80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28.80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121.36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121.36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121.36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121.36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2,546.81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2,546.81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2120501</w:t>
            </w:r>
          </w:p>
        </w:tc>
        <w:tc>
          <w:tcPr>
            <w:tcW w:w="4300" w:type="dxa"/>
            <w:tcBorders/>
            <w:vAlign w:val="center"/>
          </w:tcPr>
          <w:p>
            <w:pPr>
              <w:jc w:val="left"/>
            </w:pPr>
            <w:r>
              <w:rPr>
                <w:rFonts w:ascii="宋体" w:eastAsia="宋体" w:hAnsi="宋体" w:cs="宋体"/>
                <w:b w:val="0"/>
                <w:i w:val="0"/>
                <w:color w:val="000000"/>
                <w:sz w:val="18"/>
              </w:rPr>
              <w:t xml:space="preserve">城乡社区环境卫生</w:t>
            </w:r>
          </w:p>
        </w:tc>
        <w:tc>
          <w:tcPr>
            <w:tcW w:w="1780" w:type="dxa"/>
            <w:tcBorders/>
            <w:vAlign w:val="center"/>
          </w:tcPr>
          <w:p>
            <w:pPr>
              <w:jc w:val="right"/>
            </w:pPr>
            <w:r>
              <w:rPr>
                <w:rFonts w:ascii="宋体" w:eastAsia="宋体" w:hAnsi="宋体" w:cs="宋体"/>
                <w:b w:val="0"/>
                <w:i w:val="0"/>
                <w:color w:val="000000"/>
                <w:sz w:val="18"/>
              </w:rPr>
              <w:t xml:space="preserve">2,546.81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2,546.81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9.14</w:t>
            </w:r>
          </w:p>
        </w:tc>
        <w:tc>
          <w:tcPr>
            <w:tcW w:w="1780" w:type="dxa"/>
            <w:tcBorders/>
            <w:vAlign w:val="center"/>
          </w:tcPr>
          <w:p>
            <w:pPr>
              <w:jc w:val="right"/>
            </w:pPr>
            <w:r>
              <w:rPr>
                <w:rFonts w:ascii="宋体" w:eastAsia="宋体" w:hAnsi="宋体" w:cs="宋体"/>
                <w:b w:val="0"/>
                <w:i w:val="0"/>
                <w:color w:val="000000"/>
                <w:sz w:val="18"/>
              </w:rPr>
              <w:t xml:space="preserve">9.14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9.14</w:t>
            </w:r>
          </w:p>
        </w:tc>
        <w:tc>
          <w:tcPr>
            <w:tcW w:w="1780" w:type="dxa"/>
            <w:tcBorders/>
            <w:vAlign w:val="center"/>
          </w:tcPr>
          <w:p>
            <w:pPr>
              <w:jc w:val="right"/>
            </w:pPr>
            <w:r>
              <w:rPr>
                <w:rFonts w:ascii="宋体" w:eastAsia="宋体" w:hAnsi="宋体" w:cs="宋体"/>
                <w:b w:val="0"/>
                <w:i w:val="0"/>
                <w:color w:val="000000"/>
                <w:sz w:val="18"/>
              </w:rPr>
              <w:t xml:space="preserve">9.14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9.14</w:t>
            </w:r>
          </w:p>
        </w:tc>
        <w:tc>
          <w:tcPr>
            <w:tcW w:w="1780" w:type="dxa"/>
            <w:tcBorders/>
            <w:vAlign w:val="center"/>
          </w:tcPr>
          <w:p>
            <w:pPr>
              <w:jc w:val="right"/>
            </w:pPr>
            <w:r>
              <w:rPr>
                <w:rFonts w:ascii="宋体" w:eastAsia="宋体" w:hAnsi="宋体" w:cs="宋体"/>
                <w:b w:val="0"/>
                <w:i w:val="0"/>
                <w:color w:val="000000"/>
                <w:sz w:val="18"/>
              </w:rPr>
              <w:t xml:space="preserve">9.14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75.19</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8.19</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21.09</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0.91</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16.14</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15.78</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1.62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8.09</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2.76</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3.12</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0.20</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9.14</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jc w:val="right"/>
            </w:pPr>
            <w:r>
              <w:rPr>
                <w:rFonts w:ascii="宋体" w:eastAsia="宋体" w:hAnsi="宋体" w:cs="宋体"/>
                <w:b w:val="0"/>
                <w:i w:val="0"/>
                <w:color w:val="000000"/>
                <w:sz w:val="14"/>
              </w:rPr>
              <w:t xml:space="preserve">0.06</w:t>
            </w: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0.55</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0.55</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0.41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4.06</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75.74</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8.19</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单位：辽宁省沈阳市浑南区城市管理局（本级）</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068001沈阳市浑南区城市管理局本级-210112000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114.07</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114.07</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62.54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17.24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目标一：制定市容景观、园林绿化、环境卫生等行业相关规定、作业标准、管理办法。</w:t>
            </w:r>
          </w:p>
          <w:p>
            <w:pPr>
              <w:pBdr/>
              <w:shd w:val="clear" w:color="auto" w:fill="auto"/>
              <w:snapToGrid w:val="0"/>
              <w:spacing w:before="0" w:beforeAutospacing="0" w:after="0" w:afterAutospacing="0" w:line="240" w:lineRule="auto"/>
              <w:jc w:val="center"/>
              <w:rPr/>
            </w:pPr>
            <w:r>
              <w:rPr>
                <w:rFonts w:ascii="宋体" w:eastAsia="宋体" w:hAnsi="宋体" w:cs="宋体"/>
                <w:b w:val="0"/>
                <w:i w:val="0"/>
                <w:color w:val="000000"/>
                <w:sz w:val="19"/>
              </w:rPr>
              <w:t xml:space="preserve">目标二：负责全区夜景亮化工作。</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目标已完成</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社会公众投诉次数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生态效益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重点防治水域水质达标率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企业、群众满意度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建立制度规范档案管理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偿还拖欠企业欠款（城管局）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1653.14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1652.91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乡村治理已列入当前农村的做要工作，随着农民生活水平的提高，农村垃圾数量快速的增长，通过科学调整时间，通过加大清扫力度，在全区环卫职工的共同努力下，我区的环境得到了较大的改善。农村的环境不断提升。村容村貌：确保村容村貌整洁，保障良好的环境卫生。改善人居环境：切实提升环境卫生管理水平，改善农村人居环境，不断满足人民群众日益增长的优美生态环境需要。</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推动辽宁国土绿化工程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城管局食堂燃气经费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5.49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42.32%</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环境问题是广大人民群众看得见、摸得着、触得到的最直观的感受，我们要把改善城市环境作为城市管理的重要环节，一抓到底，常抓不懈，让生活在这座城市的每一个人都有一种自豪感、幸福感、归属感、获得感。河道治理是维护城市水源、改进生态环境保护的基础对策。伴随着社会发展对河道治理的广泛关心，促使往日的一条条历经治理后的河道，水变蓝了，河道护坡两岸的绿植绿意盎然，变成周边住户散步休闲娱乐的好地方。农村环境整治，是一项惠民工程。尤其农村公厕更是群众体会最深切的，受益最直接的。现在，群众的生活水平提高了，对城市环境也提出了新的更高要求。而农村公厕市场化的进入更能提升公厕保洁质量，让人人都有幸福感。</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燃气普及率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主体工程完工率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发放到位率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管控设施利用率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设备的完好率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4.23</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35.2324923</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党建活动经费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加强党的建设，是党风廉政建设的很关键。抓党风廉政建设，关键要抓好党的建设，只有抓好党的基层组织建设，才能促进党风、政风、行风向好。重视党性教育，坚定理想信念不动摇，树立群众观点，走群众路线，真正成为人民的公仆，锻炼党性，纯洁党风，不断发扬光荣传统，克服各种困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学会党建工作培训班次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学会党建工作培训人次</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人次</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1113"/>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年均理论研究课题通过各民主党派中央结题评审的通过率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被党派中央（论坛）选用的比例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提升党建工作水平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有所提升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社会组织党建工作覆盖面</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全面覆盖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冬季挡雪板项目（城管局）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造林绿化林木良种使用率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公园保安服务费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471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273.99</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精细化管理可以压实街道办事处责任，构建上报、派遣、处置、反馈闭环全流程，打造整洁、有序、安全、智慧的城市环境。通过加强常态化管理，提升城市功能品质，助力我区在沈阳市“五工程一管理”和国家文明城、卫生城等重要检查中取得好成绩。公园保安主要职责为防火、防盗、责任区域内的人身安全。通过保安人员的工作实施来保障，固定区域内安全，正常工作秩序、治安秩序。保安是保安行业承担社会责任的主体，保安行业是提供安全服务，因而要比其他行业承担更多社会责任。</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参训人员合格率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管护人员工作记录填报质量（1分）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质安人员队伍稳定性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队伍稳定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人员到位率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5.82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26.81719745</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28.13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22.64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80.48%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城市精细化管理可以压实街道办事处责任，构建上报、派遣、处置、反馈闭环全流程，打造整洁、有序、安全、智慧的城市环境。通过加强常态化管理，提升城市功能品质，助力我区在沈阳市“五工程一管理”和国家文明城、卫生城等重要检查中取得好成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外聘人员数量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招募人员数量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补助人员覆盖率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参加培训人员合格率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质安人员队伍稳定性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队伍稳定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提高业内人员工作荣誉感</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提高工作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8.05</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98.05</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花间道运动公园绿化改造工程四标段工程进度款</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绿化建设项目开展前找专业设计单位进行设计，并将设计理念形式向社会老百姓进行传递，征求老百姓意见，同时由审计单位对招标价格进行审定，保证资金合理利用不浪费　。绿化养护工作实现依据考核办法严格进行考核，保证按季节养护工作每一项落实到位。如灌水到位、整形树木、草坪修剪养护到位。并将市里考核工作纳入到区考核内，督促养护单位积极进行养护管理，保证全区绿化养护工作没有死角全面进行。绿化养护工作实现依据考核办法严格进行考核，保证按季节养护工作每一项落实到位。如灌水到位、整形树木、草坪修剪养护到位。并将市里考核工作纳入到区考核内，督促养护单位积极进行养护管理，保证全区绿化养护工作没有死角全面进行。</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已竣工项目质量验收合格率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改善农村人居环境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明显改善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区域水质质量提升率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缴纳残疾人就业保障金（经建科）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96.87%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残保金是单位为职工缴纳的一种社会保险费用，它的主要作用就是保障职工权益。在职工发生意外伤害、疾病等情况下，残保金可以为职工提供一定的经济帮助，帮助职工度过难关，如果不按规定缴纳残保金，将面临法律风险。根据相关法律法规规定，单位必须按照国家规定的比例缴纳参保金，否则将面临罚款等惩罚。因此、单位应该按照规定缴纳残保金，避免法律风险。</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资金保障范围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家</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接收保障补助的人员数量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风险保障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保障全年正常运转率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保障当事人合法权益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保障权益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保障单位正常运行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9.69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街路有机更新改造（一期）一标段</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365.7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365.7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随着招商引资工作全面开展，打造营商环境，是我们前提工作，而绿化景观建设和绿化养护工作的全面开展，才能做好营商环境的环境基础工作。特别随着浑南区开发建设，市委市政府南移，浑南区的建设水平不仅是代表浑南区的形象，更是代表是沈阳市景观形象，为此浑南区大力发展市政建设和绿化景观建设工作，为招商引资提供更好的市政绿化景观，保证我市经济的蓬勃发展。因此保证市政绿化景观，是我们必要工作。我区绿化建设项目和绿化养护工作争取全面实现市排名第一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完工项目验收合格率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推动辽宁国土绿化工程</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景观亮化电费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62.01</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62.01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亮化工程在营造城市旖旎风光，改善城市生态环境和建设花园城市发挥着重要作用。因此，亮化工程的绩效目标就是提高人们的生活质量，提升居民生活舒适度，改善地区景观条件，建设生态与功能共存的高品质、特色街道街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购置发电机照明灯组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套</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美丽乡村示范村安装太阳能路灯数量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美丽乡村示范村路灯安装项目验收合格率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采购节约资金</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环境优美，绿色发展。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环境优美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亮化维护项目施工</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亮化工程在营造城市旖旎风光，改善城市生态环境和建设花园城市发挥着重要作用。因此，亮化工程的绩效目标就是提高人们的生活质量，提升居民生活舒适度，改善地区景观条件，建设生态与功能共存的高品质、特色街道街区。</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维护工作量完成率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设施维护数量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美丽乡村示范村路灯安装项目验收合格率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工程运行维护完好率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有效降低维护成本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有效降低</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美丽乡村示范村路灯覆盖率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路内停车博思云服务平台运行经费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39.8</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39.8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云平台提供财政非税收入收缴电子化暨电子票据系统，接入财政非税收缴业务及财政电子票据业务，提供相关财政非税收缴及财政电子票据接口服务，实现路侧停车收费直缴财政、财政电子票据的开具、存储和推送服务。主要工作内容包括：提供财政非税收入收缴电子化暨电子票据系统，建立沈阳市路侧停车缴费统一支付平台与区城管局下属路侧停车业务系统对接，与区城管局下属路侧停车业务系统进行接口联调，实现路侧停车收费的业务办理、财政电子票据流程管理、财政电子票据归档存储，提供电子票夹小程序互联网交付渠道。</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微信平台运行维护天数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平台建设运营补助数量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系统平台验收合格率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执法平台运行平稳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运营平稳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信息平台运行稳定性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运行稳定</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平台机制健全性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机制健全</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审批后移植项目工程款（城管局）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沈阳市浑南区城市管理局本级-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浑南区政府对本项目的实施高度重视，本项目的建设也是全面提升居民精神文化的需要。建设美丽生态城市，使浑南区基础设施明显加强，居民生活质量明显改善，使当地各项社会事业全面发展。本项目由建设单位主要负责人为成员的领导小组，全面负责工程的组织领导、指挥协调工作。领导小组下设办公室，具体负责规划编制，制定相关政策、具体方案和技术标准，并加强对改造工程建设的指挥调度、管理监督和验收考核，确保本次绿化工程的全面完成。加强资金管理，杜绝一切截留、挤占和挪用建设资金的行为，并随时接受上级审计部门的审计监督。</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绩效目标已完成</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绿化工程施工完成情况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闭坑治理绿化率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建成区绿化覆盖率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项目合格率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美丽乡村示范村村屯绿化</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持续影响</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造林绿化林木良种使用率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