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辽宁省沈阳市浑南区城市更新局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辽宁省沈阳市浑南区城市更新局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辽宁省沈阳市浑南区城市更新局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辽宁省沈阳市浑南区城市更新局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辽宁省沈阳市浑南区城市更新局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辽宁省沈阳市浑南区城市更新局概况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沈阳市浑南区城市更新局贯彻落实党中央关于财政工作的方针政策和决策部署及省委有关要求，在履行职责过程中坚持和加强党对财政工作的集中统一领导。主要职责是：</w:t>
        <w:br/>
        <w:t xml:space="preserve">    （一）贯彻执行国家有关城市更新方面的法律、法规和政策及省、市有关要求，组织开展本区城市更新配套政策和规范性文件的研究和起草工作。</w:t>
        <w:br/>
        <w:t xml:space="preserve">    （二）组织编制城市更新规划、总体工作方案，制定城市更新中长期及年度实施计划，经批准后实施。</w:t>
        <w:br/>
        <w:t xml:space="preserve">    （三）统筹全区城市更新改造项目；协调街道办事处实施政府主导的城市更新重点项目和产业项目。</w:t>
        <w:br/>
        <w:t xml:space="preserve">    （四）统筹指导纳入年度城市更新计划的土地房屋征收、安置及土地整合归宗工作；统筹指导城市基础设施建设用地的征收工作；负责全区城市更新工作被委托实施单位的政策指导、业务培训；负责城市更新项目征收公告、补偿方案、征收决定等审核报批工作；负责全区征收项目第三方服务机构的采购和管理工作、并指导街道办事处使用。</w:t>
        <w:br/>
        <w:t xml:space="preserve">    （五）负责统筹推进城市更新信息化建设及信息数据统计工作。</w:t>
        <w:br/>
        <w:t xml:space="preserve">    （六）负责本部门权责清单和政务服务事项清单在区政府门户网站上公布工作。</w:t>
        <w:br/>
        <w:t xml:space="preserve">    （七）负责本单位安全生产工作。</w:t>
        <w:br/>
        <w:t xml:space="preserve">    （八）完成区委、区政府交办的其他任务。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辽宁省沈阳市浑南区城市更新局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1.沈阳市浑南区城市更新局本级</w:t>
        <w:br/>
        <w:t xml:space="preserve">    2.沈阳市浑南区城市更新事务服务中心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64217.00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63413.99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98.75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7673.55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55740.44</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803.01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1.25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主要是2003年进入电子记账之前，征收项目部分暂未结算等。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增加64217.00万元，增长0.00%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人员及第三方服务费增加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63413.99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756.18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1.19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工资福利支出707.60万元；商品和服务支出42.46万元；对个人和家庭的补助6.01万元；资本性支出0.13万元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62657.81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98.81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主要包括征收第三方服务费等业务支出。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增加63413.99万元，增长0.00%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人员及第三方服务费增加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803.01</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主要是征收项目部分暂未结算等原因形成的结余。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增加803.01万元，增长100%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电子记账后代入未结算金额</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63413.99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756.18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62657.81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增加63413.99万元，增长0.00%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人员及第三方服务费增加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179.54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89.86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181.73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2024年度一般公共预算财政拨款支出7673.55万元。按支出功能分类科目分，包括：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（1）一般公共服务支出（类）信访事务（款）其他信访事务支出（项）4.68万元,主要是信访维稳经费等支出，完成年初预算的100%，决算数与年初预算数存在差异的主要原因是年初无预算，中途追加预算。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2.社会保障和就业支出94.52万元，具体包括：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（1）社会保障和就业支出（类）行政事业单位养老支出（款）行政单位离退休（项）2.42万元,主要是退休人员医疗补助保险等支出，完成年初预算的89.30%，决算数与年初预算数存在差异的主要原因是分批次支出。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3.59万元,主要是退休人员医疗补助保险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74.42万元,主要是机关事业单位基本养老保险缴费等支出，完成年初预算的101.57%，决算数与年初预算数存在差异的主要原因是人员增加及调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14.09万元,主要是在职人员职业年金缴费等支出，完成年初预算的100.24%，决算数与年初预算数存在差异的主要原因是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3.卫生健康支出29.58万元，具体包括：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（1）卫生健康支出（类）行政事业单位医疗（款）行政单位医疗（项）4.09万元,主要是职工基本医疗等支出，完成年初预算的88.24%，决算数与年初预算数存在差异的主要原因是分批次支出。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（2）卫生健康支出（类）行政事业单位医疗（款）事业单位医疗（项）25.49万元,主要是职工基本医疗等支出，完成年初预算的100.24%，决算数与年初预算数存在差异的主要原因是人员增加。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4.城乡社区支出7465.22万元，具体包括：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（1）城乡社区支出（类）城乡社区管理事务（款）行政运行（项）78.95万元,主要是基本工资、津贴补贴、奖金、伙食费等支出，完成年初预算的88.18%，决算数与年初预算数存在差异的主要原因是分批次支出。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255.11万元,主要是人员经费、项目经费等支出，完成年初预算的757.22%，决算数与年初预算数存在差异的主要原因是人员及第三方服务费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规划与管理（款）城乡社区规划与管理（项）6125.44万元,主要是城乡社区规划及管理等支出，完成年初预算的17.5%，决算数与年初预算数存在差异的主要原因是项目支出通过其他科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（4）城乡社区支出（类）其他城乡社区支出（款）其他城乡社区支出（项）1005.72万元,主要是城乡社区相关业务等支出，完成年初预算的100%，决算数与年初预算数存在差异的主要原因是支出时科目调整。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5.住房保障支出79.54万元，具体包括：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（1）住房保障支出（类）住房改革支出（款）住房公积金（项）79.54万元,主要是住房公积金及住房补贴等支出，完成年初预算的90.18%，决算数与年初预算数存在差异的主要原因是分批次支出。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2024年度政府性基金预算财政拨款支出55740.44万元。按支出功能分类科目分，包括：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1.城乡社区支出1740.44万元，具体包括：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1740.44万元,主要是白塔工业园土地开发整理和土地开发本金及利息等支出，完成年初预算的100%，决算数与年初预算数存在差异的主要原因是解决历史遗留问题。</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2.其他支出54000.00万元，具体包括：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其他政府性基金及对应专项债务收入安排的支出（款）其他地方自行试点项目收益专项债券收入安排的支出（项）54000.00万元,主要是白塔工业园土地开发整理和土地开发本金及利息等支出，完成年初预算的100%，决算数与年初预算数存在差异的主要原因是解决历史遗留问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756.20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713.61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42.59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10.60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比上年增加10.60万元，增长0.00%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具体而言，本年度我部门共组织对13个项目实施了绩效评价。从预算资金来源看，涉及一般公共预算的项目12个，涉及政府性基金预算的项目1个，涉及国有资本经营预算的项目0个。</w:t>
        <w:br/>
        <w:t xml:space="preserve">    上述评价工作共涉及财政资金39501.21万元。其中，一般公共预算资金4211.26万元，占资金总额的10.66%；政府性基金预算资金35289.95</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1个；得分在60分（含）至80分、等级为“中”的项目有3个；得分在60分以下、等级为“差”的项目有1个。各项目自评发现，部分项目存在预算执行进度偏慢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顾问费，涉及资金24万元，评价平均分为100分，评级情况为优；第二个重点项目为偿还历史遗留问题（第三方服务费），涉及资金223.34万元，评价平均分为100分，评级情况为优。同时，评价也发现派遣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财政依据经批准的一般公共预算，以无偿拨款方式分配给各部门、单位，并最终由这些单位实际支出去的，用于保障国家管理运行、提供公共服务、实施宏观调控的各项开支。它是政府财政支出中最重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7,673.55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4.68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55,740.44</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94.52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29.59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9,205.67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79.54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54,000.00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63,413.99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63,413.99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803.01</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803.01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64,217.00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64,217.00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63,413.99</w:t>
            </w:r>
          </w:p>
        </w:tc>
        <w:tc>
          <w:tcPr>
            <w:tcW w:w="960" w:type="dxa"/>
            <w:tcBorders/>
            <w:vAlign w:val="center"/>
          </w:tcPr>
          <w:p>
            <w:pPr>
              <w:jc w:val="right"/>
            </w:pPr>
            <w:r>
              <w:rPr>
                <w:rFonts w:ascii="宋体" w:eastAsia="宋体" w:hAnsi="宋体" w:cs="宋体"/>
                <w:b/>
                <w:i w:val="0"/>
                <w:color w:val="000000"/>
                <w:sz w:val="13"/>
              </w:rPr>
              <w:t xml:space="preserve">63,413.99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94.52</w:t>
            </w:r>
          </w:p>
        </w:tc>
        <w:tc>
          <w:tcPr>
            <w:tcW w:w="960" w:type="dxa"/>
            <w:tcBorders/>
            <w:vAlign w:val="center"/>
          </w:tcPr>
          <w:p>
            <w:pPr>
              <w:jc w:val="right"/>
            </w:pPr>
            <w:r>
              <w:rPr>
                <w:rFonts w:ascii="宋体" w:eastAsia="宋体" w:hAnsi="宋体" w:cs="宋体"/>
                <w:b w:val="0"/>
                <w:i w:val="0"/>
                <w:color w:val="000000"/>
                <w:sz w:val="13"/>
              </w:rPr>
              <w:t xml:space="preserve">94.52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94.52</w:t>
            </w:r>
          </w:p>
        </w:tc>
        <w:tc>
          <w:tcPr>
            <w:tcW w:w="960" w:type="dxa"/>
            <w:tcBorders/>
            <w:vAlign w:val="center"/>
          </w:tcPr>
          <w:p>
            <w:pPr>
              <w:jc w:val="right"/>
            </w:pPr>
            <w:r>
              <w:rPr>
                <w:rFonts w:ascii="宋体" w:eastAsia="宋体" w:hAnsi="宋体" w:cs="宋体"/>
                <w:b w:val="0"/>
                <w:i w:val="0"/>
                <w:color w:val="000000"/>
                <w:sz w:val="13"/>
              </w:rPr>
              <w:t xml:space="preserve">94.52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3.59</w:t>
            </w:r>
          </w:p>
        </w:tc>
        <w:tc>
          <w:tcPr>
            <w:tcW w:w="960" w:type="dxa"/>
            <w:tcBorders/>
            <w:vAlign w:val="center"/>
          </w:tcPr>
          <w:p>
            <w:pPr>
              <w:jc w:val="right"/>
            </w:pPr>
            <w:r>
              <w:rPr>
                <w:rFonts w:ascii="宋体" w:eastAsia="宋体" w:hAnsi="宋体" w:cs="宋体"/>
                <w:b w:val="0"/>
                <w:i w:val="0"/>
                <w:color w:val="000000"/>
                <w:sz w:val="13"/>
              </w:rPr>
              <w:t xml:space="preserve">3.59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74.42</w:t>
            </w:r>
          </w:p>
        </w:tc>
        <w:tc>
          <w:tcPr>
            <w:tcW w:w="960" w:type="dxa"/>
            <w:tcBorders/>
            <w:vAlign w:val="center"/>
          </w:tcPr>
          <w:p>
            <w:pPr>
              <w:jc w:val="right"/>
            </w:pPr>
            <w:r>
              <w:rPr>
                <w:rFonts w:ascii="宋体" w:eastAsia="宋体" w:hAnsi="宋体" w:cs="宋体"/>
                <w:b w:val="0"/>
                <w:i w:val="0"/>
                <w:color w:val="000000"/>
                <w:sz w:val="13"/>
              </w:rPr>
              <w:t xml:space="preserve">74.42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14.09</w:t>
            </w:r>
          </w:p>
        </w:tc>
        <w:tc>
          <w:tcPr>
            <w:tcW w:w="960" w:type="dxa"/>
            <w:tcBorders/>
            <w:vAlign w:val="center"/>
          </w:tcPr>
          <w:p>
            <w:pPr>
              <w:jc w:val="right"/>
            </w:pPr>
            <w:r>
              <w:rPr>
                <w:rFonts w:ascii="宋体" w:eastAsia="宋体" w:hAnsi="宋体" w:cs="宋体"/>
                <w:b w:val="0"/>
                <w:i w:val="0"/>
                <w:color w:val="000000"/>
                <w:sz w:val="13"/>
              </w:rPr>
              <w:t xml:space="preserve">14.09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29.58</w:t>
            </w:r>
          </w:p>
        </w:tc>
        <w:tc>
          <w:tcPr>
            <w:tcW w:w="960" w:type="dxa"/>
            <w:tcBorders/>
            <w:vAlign w:val="center"/>
          </w:tcPr>
          <w:p>
            <w:pPr>
              <w:jc w:val="right"/>
            </w:pPr>
            <w:r>
              <w:rPr>
                <w:rFonts w:ascii="宋体" w:eastAsia="宋体" w:hAnsi="宋体" w:cs="宋体"/>
                <w:b w:val="0"/>
                <w:i w:val="0"/>
                <w:color w:val="000000"/>
                <w:sz w:val="13"/>
              </w:rPr>
              <w:t xml:space="preserve">29.58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29.58</w:t>
            </w:r>
          </w:p>
        </w:tc>
        <w:tc>
          <w:tcPr>
            <w:tcW w:w="960" w:type="dxa"/>
            <w:tcBorders/>
            <w:vAlign w:val="center"/>
          </w:tcPr>
          <w:p>
            <w:pPr>
              <w:jc w:val="right"/>
            </w:pPr>
            <w:r>
              <w:rPr>
                <w:rFonts w:ascii="宋体" w:eastAsia="宋体" w:hAnsi="宋体" w:cs="宋体"/>
                <w:b w:val="0"/>
                <w:i w:val="0"/>
                <w:color w:val="000000"/>
                <w:sz w:val="13"/>
              </w:rPr>
              <w:t xml:space="preserve">29.58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9,205.66</w:t>
            </w:r>
          </w:p>
        </w:tc>
        <w:tc>
          <w:tcPr>
            <w:tcW w:w="960" w:type="dxa"/>
            <w:tcBorders/>
            <w:vAlign w:val="center"/>
          </w:tcPr>
          <w:p>
            <w:pPr>
              <w:jc w:val="right"/>
            </w:pPr>
            <w:r>
              <w:rPr>
                <w:rFonts w:ascii="宋体" w:eastAsia="宋体" w:hAnsi="宋体" w:cs="宋体"/>
                <w:b w:val="0"/>
                <w:i w:val="0"/>
                <w:color w:val="000000"/>
                <w:sz w:val="13"/>
              </w:rPr>
              <w:t xml:space="preserve">9,205.66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334.06</w:t>
            </w:r>
          </w:p>
        </w:tc>
        <w:tc>
          <w:tcPr>
            <w:tcW w:w="960" w:type="dxa"/>
            <w:tcBorders/>
            <w:vAlign w:val="center"/>
          </w:tcPr>
          <w:p>
            <w:pPr>
              <w:jc w:val="right"/>
            </w:pPr>
            <w:r>
              <w:rPr>
                <w:rFonts w:ascii="宋体" w:eastAsia="宋体" w:hAnsi="宋体" w:cs="宋体"/>
                <w:b w:val="0"/>
                <w:i w:val="0"/>
                <w:color w:val="000000"/>
                <w:sz w:val="13"/>
              </w:rPr>
              <w:t xml:space="preserve">334.06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78.95</w:t>
            </w:r>
          </w:p>
        </w:tc>
        <w:tc>
          <w:tcPr>
            <w:tcW w:w="960" w:type="dxa"/>
            <w:tcBorders/>
            <w:vAlign w:val="center"/>
          </w:tcPr>
          <w:p>
            <w:pPr>
              <w:jc w:val="right"/>
            </w:pPr>
            <w:r>
              <w:rPr>
                <w:rFonts w:ascii="宋体" w:eastAsia="宋体" w:hAnsi="宋体" w:cs="宋体"/>
                <w:b w:val="0"/>
                <w:i w:val="0"/>
                <w:color w:val="000000"/>
                <w:sz w:val="13"/>
              </w:rPr>
              <w:t xml:space="preserve">78.95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255.11</w:t>
            </w:r>
          </w:p>
        </w:tc>
        <w:tc>
          <w:tcPr>
            <w:tcW w:w="960" w:type="dxa"/>
            <w:tcBorders/>
            <w:vAlign w:val="center"/>
          </w:tcPr>
          <w:p>
            <w:pPr>
              <w:jc w:val="right"/>
            </w:pPr>
            <w:r>
              <w:rPr>
                <w:rFonts w:ascii="宋体" w:eastAsia="宋体" w:hAnsi="宋体" w:cs="宋体"/>
                <w:b w:val="0"/>
                <w:i w:val="0"/>
                <w:color w:val="000000"/>
                <w:sz w:val="13"/>
              </w:rPr>
              <w:t xml:space="preserve">255.11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21202</w:t>
            </w:r>
          </w:p>
        </w:tc>
        <w:tc>
          <w:tcPr>
            <w:tcW w:w="3200" w:type="dxa"/>
            <w:tcBorders/>
            <w:vAlign w:val="center"/>
          </w:tcPr>
          <w:p>
            <w:pPr>
              <w:jc w:val="left"/>
            </w:pPr>
            <w:r>
              <w:rPr>
                <w:rFonts w:ascii="宋体" w:eastAsia="宋体" w:hAnsi="宋体" w:cs="宋体"/>
                <w:b w:val="0"/>
                <w:i w:val="0"/>
                <w:color w:val="000000"/>
                <w:sz w:val="13"/>
              </w:rPr>
              <w:t xml:space="preserve">城乡社区规划与管理</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2120201</w:t>
            </w:r>
          </w:p>
        </w:tc>
        <w:tc>
          <w:tcPr>
            <w:tcW w:w="3200" w:type="dxa"/>
            <w:tcBorders/>
            <w:vAlign w:val="center"/>
          </w:tcPr>
          <w:p>
            <w:pPr>
              <w:jc w:val="left"/>
            </w:pPr>
            <w:r>
              <w:rPr>
                <w:rFonts w:ascii="宋体" w:eastAsia="宋体" w:hAnsi="宋体" w:cs="宋体"/>
                <w:b w:val="0"/>
                <w:i w:val="0"/>
                <w:color w:val="000000"/>
                <w:sz w:val="13"/>
              </w:rPr>
              <w:t xml:space="preserve">城乡社区规划与管理</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79.54</w:t>
            </w:r>
          </w:p>
        </w:tc>
        <w:tc>
          <w:tcPr>
            <w:tcW w:w="960" w:type="dxa"/>
            <w:tcBorders/>
            <w:vAlign w:val="center"/>
          </w:tcPr>
          <w:p>
            <w:pPr>
              <w:jc w:val="right"/>
            </w:pPr>
            <w:r>
              <w:rPr>
                <w:rFonts w:ascii="宋体" w:eastAsia="宋体" w:hAnsi="宋体" w:cs="宋体"/>
                <w:b w:val="0"/>
                <w:i w:val="0"/>
                <w:color w:val="000000"/>
                <w:sz w:val="13"/>
              </w:rPr>
              <w:t xml:space="preserve">79.54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79.54</w:t>
            </w:r>
          </w:p>
        </w:tc>
        <w:tc>
          <w:tcPr>
            <w:tcW w:w="960" w:type="dxa"/>
            <w:tcBorders/>
            <w:vAlign w:val="center"/>
          </w:tcPr>
          <w:p>
            <w:pPr>
              <w:jc w:val="right"/>
            </w:pPr>
            <w:r>
              <w:rPr>
                <w:rFonts w:ascii="宋体" w:eastAsia="宋体" w:hAnsi="宋体" w:cs="宋体"/>
                <w:b w:val="0"/>
                <w:i w:val="0"/>
                <w:color w:val="000000"/>
                <w:sz w:val="13"/>
              </w:rPr>
              <w:t xml:space="preserve">79.54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79.54</w:t>
            </w:r>
          </w:p>
        </w:tc>
        <w:tc>
          <w:tcPr>
            <w:tcW w:w="960" w:type="dxa"/>
            <w:tcBorders/>
            <w:vAlign w:val="center"/>
          </w:tcPr>
          <w:p>
            <w:pPr>
              <w:jc w:val="right"/>
            </w:pPr>
            <w:r>
              <w:rPr>
                <w:rFonts w:ascii="宋体" w:eastAsia="宋体" w:hAnsi="宋体" w:cs="宋体"/>
                <w:b w:val="0"/>
                <w:i w:val="0"/>
                <w:color w:val="000000"/>
                <w:sz w:val="13"/>
              </w:rPr>
              <w:t xml:space="preserve">79.54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w:t>
            </w:r>
          </w:p>
        </w:tc>
        <w:tc>
          <w:tcPr>
            <w:tcW w:w="3200" w:type="dxa"/>
            <w:tcBorders/>
            <w:vAlign w:val="center"/>
          </w:tcPr>
          <w:p>
            <w:pPr>
              <w:jc w:val="left"/>
            </w:pPr>
            <w:r>
              <w:rPr>
                <w:rFonts w:ascii="宋体" w:eastAsia="宋体" w:hAnsi="宋体" w:cs="宋体"/>
                <w:b w:val="0"/>
                <w:i w:val="0"/>
                <w:color w:val="000000"/>
                <w:sz w:val="13"/>
              </w:rPr>
              <w:t xml:space="preserve">其他政府性基金及对应专项债务收入安排的支出</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2290402</w:t>
            </w:r>
          </w:p>
        </w:tc>
        <w:tc>
          <w:tcPr>
            <w:tcW w:w="3200" w:type="dxa"/>
            <w:tcBorders/>
            <w:vAlign w:val="center"/>
          </w:tcPr>
          <w:p>
            <w:pPr>
              <w:jc w:val="left"/>
            </w:pPr>
            <w:r>
              <w:rPr>
                <w:rFonts w:ascii="宋体" w:eastAsia="宋体" w:hAnsi="宋体" w:cs="宋体"/>
                <w:b w:val="0"/>
                <w:i w:val="0"/>
                <w:color w:val="000000"/>
                <w:sz w:val="13"/>
              </w:rPr>
              <w:t xml:space="preserve">其他地方自行试点项目收益专项债券收入安排的支出</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63,413.99</w:t>
            </w:r>
          </w:p>
        </w:tc>
        <w:tc>
          <w:tcPr>
            <w:tcW w:w="1060" w:type="dxa"/>
            <w:tcBorders/>
            <w:vAlign w:val="center"/>
          </w:tcPr>
          <w:p>
            <w:pPr>
              <w:jc w:val="right"/>
            </w:pPr>
            <w:r>
              <w:rPr>
                <w:rFonts w:ascii="宋体" w:eastAsia="宋体" w:hAnsi="宋体" w:cs="宋体"/>
                <w:b/>
                <w:i w:val="0"/>
                <w:color w:val="000000"/>
                <w:sz w:val="14"/>
              </w:rPr>
              <w:t xml:space="preserve">756.18</w:t>
            </w:r>
          </w:p>
        </w:tc>
        <w:tc>
          <w:tcPr>
            <w:tcW w:w="1060" w:type="dxa"/>
            <w:tcBorders/>
            <w:vAlign w:val="center"/>
          </w:tcPr>
          <w:p>
            <w:pPr>
              <w:jc w:val="right"/>
            </w:pPr>
            <w:r>
              <w:rPr>
                <w:rFonts w:ascii="宋体" w:eastAsia="宋体" w:hAnsi="宋体" w:cs="宋体"/>
                <w:b/>
                <w:i w:val="0"/>
                <w:color w:val="000000"/>
                <w:sz w:val="14"/>
              </w:rPr>
              <w:t xml:space="preserve">62,657.81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94.52</w:t>
            </w:r>
          </w:p>
        </w:tc>
        <w:tc>
          <w:tcPr>
            <w:tcW w:w="1060" w:type="dxa"/>
            <w:tcBorders/>
            <w:vAlign w:val="center"/>
          </w:tcPr>
          <w:p>
            <w:pPr>
              <w:jc w:val="right"/>
            </w:pPr>
            <w:r>
              <w:rPr>
                <w:rFonts w:ascii="宋体" w:eastAsia="宋体" w:hAnsi="宋体" w:cs="宋体"/>
                <w:b w:val="0"/>
                <w:i w:val="0"/>
                <w:color w:val="000000"/>
                <w:sz w:val="14"/>
              </w:rPr>
              <w:t xml:space="preserve">94.52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94.52</w:t>
            </w:r>
          </w:p>
        </w:tc>
        <w:tc>
          <w:tcPr>
            <w:tcW w:w="1060" w:type="dxa"/>
            <w:tcBorders/>
            <w:vAlign w:val="center"/>
          </w:tcPr>
          <w:p>
            <w:pPr>
              <w:jc w:val="right"/>
            </w:pPr>
            <w:r>
              <w:rPr>
                <w:rFonts w:ascii="宋体" w:eastAsia="宋体" w:hAnsi="宋体" w:cs="宋体"/>
                <w:b w:val="0"/>
                <w:i w:val="0"/>
                <w:color w:val="000000"/>
                <w:sz w:val="14"/>
              </w:rPr>
              <w:t xml:space="preserve">94.52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3.59</w:t>
            </w:r>
          </w:p>
        </w:tc>
        <w:tc>
          <w:tcPr>
            <w:tcW w:w="1060" w:type="dxa"/>
            <w:tcBorders/>
            <w:vAlign w:val="center"/>
          </w:tcPr>
          <w:p>
            <w:pPr>
              <w:jc w:val="right"/>
            </w:pPr>
            <w:r>
              <w:rPr>
                <w:rFonts w:ascii="宋体" w:eastAsia="宋体" w:hAnsi="宋体" w:cs="宋体"/>
                <w:b w:val="0"/>
                <w:i w:val="0"/>
                <w:color w:val="000000"/>
                <w:sz w:val="14"/>
              </w:rPr>
              <w:t xml:space="preserve">3.59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74.42</w:t>
            </w:r>
          </w:p>
        </w:tc>
        <w:tc>
          <w:tcPr>
            <w:tcW w:w="1060" w:type="dxa"/>
            <w:tcBorders/>
            <w:vAlign w:val="center"/>
          </w:tcPr>
          <w:p>
            <w:pPr>
              <w:jc w:val="right"/>
            </w:pPr>
            <w:r>
              <w:rPr>
                <w:rFonts w:ascii="宋体" w:eastAsia="宋体" w:hAnsi="宋体" w:cs="宋体"/>
                <w:b w:val="0"/>
                <w:i w:val="0"/>
                <w:color w:val="000000"/>
                <w:sz w:val="14"/>
              </w:rPr>
              <w:t xml:space="preserve">74.42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14.09</w:t>
            </w:r>
          </w:p>
        </w:tc>
        <w:tc>
          <w:tcPr>
            <w:tcW w:w="1060" w:type="dxa"/>
            <w:tcBorders/>
            <w:vAlign w:val="center"/>
          </w:tcPr>
          <w:p>
            <w:pPr>
              <w:jc w:val="right"/>
            </w:pPr>
            <w:r>
              <w:rPr>
                <w:rFonts w:ascii="宋体" w:eastAsia="宋体" w:hAnsi="宋体" w:cs="宋体"/>
                <w:b w:val="0"/>
                <w:i w:val="0"/>
                <w:color w:val="000000"/>
                <w:sz w:val="14"/>
              </w:rPr>
              <w:t xml:space="preserve">14.09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29.58</w:t>
            </w:r>
          </w:p>
        </w:tc>
        <w:tc>
          <w:tcPr>
            <w:tcW w:w="1060" w:type="dxa"/>
            <w:tcBorders/>
            <w:vAlign w:val="center"/>
          </w:tcPr>
          <w:p>
            <w:pPr>
              <w:jc w:val="right"/>
            </w:pPr>
            <w:r>
              <w:rPr>
                <w:rFonts w:ascii="宋体" w:eastAsia="宋体" w:hAnsi="宋体" w:cs="宋体"/>
                <w:b w:val="0"/>
                <w:i w:val="0"/>
                <w:color w:val="000000"/>
                <w:sz w:val="14"/>
              </w:rPr>
              <w:t xml:space="preserve">29.58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29.58</w:t>
            </w:r>
          </w:p>
        </w:tc>
        <w:tc>
          <w:tcPr>
            <w:tcW w:w="1060" w:type="dxa"/>
            <w:tcBorders/>
            <w:vAlign w:val="center"/>
          </w:tcPr>
          <w:p>
            <w:pPr>
              <w:jc w:val="right"/>
            </w:pPr>
            <w:r>
              <w:rPr>
                <w:rFonts w:ascii="宋体" w:eastAsia="宋体" w:hAnsi="宋体" w:cs="宋体"/>
                <w:b w:val="0"/>
                <w:i w:val="0"/>
                <w:color w:val="000000"/>
                <w:sz w:val="14"/>
              </w:rPr>
              <w:t xml:space="preserve">29.58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9,205.66</w:t>
            </w:r>
          </w:p>
        </w:tc>
        <w:tc>
          <w:tcPr>
            <w:tcW w:w="1060" w:type="dxa"/>
            <w:tcBorders/>
            <w:vAlign w:val="center"/>
          </w:tcPr>
          <w:p>
            <w:pPr>
              <w:jc w:val="right"/>
            </w:pPr>
            <w:r>
              <w:rPr>
                <w:rFonts w:ascii="宋体" w:eastAsia="宋体" w:hAnsi="宋体" w:cs="宋体"/>
                <w:b w:val="0"/>
                <w:i w:val="0"/>
                <w:color w:val="000000"/>
                <w:sz w:val="14"/>
              </w:rPr>
              <w:t xml:space="preserve">552.54</w:t>
            </w:r>
          </w:p>
        </w:tc>
        <w:tc>
          <w:tcPr>
            <w:tcW w:w="1060" w:type="dxa"/>
            <w:tcBorders/>
            <w:vAlign w:val="center"/>
          </w:tcPr>
          <w:p>
            <w:pPr>
              <w:jc w:val="right"/>
            </w:pPr>
            <w:r>
              <w:rPr>
                <w:rFonts w:ascii="宋体" w:eastAsia="宋体" w:hAnsi="宋体" w:cs="宋体"/>
                <w:b w:val="0"/>
                <w:i w:val="0"/>
                <w:color w:val="000000"/>
                <w:sz w:val="14"/>
              </w:rPr>
              <w:t xml:space="preserve">8,653.12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334.06</w:t>
            </w:r>
          </w:p>
        </w:tc>
        <w:tc>
          <w:tcPr>
            <w:tcW w:w="1060" w:type="dxa"/>
            <w:tcBorders/>
            <w:vAlign w:val="center"/>
          </w:tcPr>
          <w:p>
            <w:pPr>
              <w:jc w:val="right"/>
            </w:pPr>
            <w:r>
              <w:rPr>
                <w:rFonts w:ascii="宋体" w:eastAsia="宋体" w:hAnsi="宋体" w:cs="宋体"/>
                <w:b w:val="0"/>
                <w:i w:val="0"/>
                <w:color w:val="000000"/>
                <w:sz w:val="14"/>
              </w:rPr>
              <w:t xml:space="preserve">78.95</w:t>
            </w:r>
          </w:p>
        </w:tc>
        <w:tc>
          <w:tcPr>
            <w:tcW w:w="1060" w:type="dxa"/>
            <w:tcBorders/>
            <w:vAlign w:val="center"/>
          </w:tcPr>
          <w:p>
            <w:pPr>
              <w:jc w:val="right"/>
            </w:pPr>
            <w:r>
              <w:rPr>
                <w:rFonts w:ascii="宋体" w:eastAsia="宋体" w:hAnsi="宋体" w:cs="宋体"/>
                <w:b w:val="0"/>
                <w:i w:val="0"/>
                <w:color w:val="000000"/>
                <w:sz w:val="14"/>
              </w:rPr>
              <w:t xml:space="preserve">255.11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78.95</w:t>
            </w:r>
          </w:p>
        </w:tc>
        <w:tc>
          <w:tcPr>
            <w:tcW w:w="1060" w:type="dxa"/>
            <w:tcBorders/>
            <w:vAlign w:val="center"/>
          </w:tcPr>
          <w:p>
            <w:pPr>
              <w:jc w:val="right"/>
            </w:pPr>
            <w:r>
              <w:rPr>
                <w:rFonts w:ascii="宋体" w:eastAsia="宋体" w:hAnsi="宋体" w:cs="宋体"/>
                <w:b w:val="0"/>
                <w:i w:val="0"/>
                <w:color w:val="000000"/>
                <w:sz w:val="14"/>
              </w:rPr>
              <w:t xml:space="preserve">78.95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255.11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255.11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21202</w:t>
            </w:r>
          </w:p>
        </w:tc>
        <w:tc>
          <w:tcPr>
            <w:tcW w:w="3440" w:type="dxa"/>
            <w:tcBorders/>
            <w:vAlign w:val="center"/>
          </w:tcPr>
          <w:p>
            <w:pPr>
              <w:jc w:val="left"/>
            </w:pPr>
            <w:r>
              <w:rPr>
                <w:rFonts w:ascii="宋体" w:eastAsia="宋体" w:hAnsi="宋体" w:cs="宋体"/>
                <w:b w:val="0"/>
                <w:i w:val="0"/>
                <w:color w:val="000000"/>
                <w:sz w:val="14"/>
              </w:rPr>
              <w:t xml:space="preserve">城乡社区规划与管理</w:t>
            </w:r>
          </w:p>
        </w:tc>
        <w:tc>
          <w:tcPr>
            <w:tcW w:w="1060" w:type="dxa"/>
            <w:tcBorders/>
            <w:vAlign w:val="center"/>
          </w:tcPr>
          <w:p>
            <w:pPr>
              <w:jc w:val="right"/>
            </w:pPr>
            <w:r>
              <w:rPr>
                <w:rFonts w:ascii="宋体" w:eastAsia="宋体" w:hAnsi="宋体" w:cs="宋体"/>
                <w:b w:val="0"/>
                <w:i w:val="0"/>
                <w:color w:val="000000"/>
                <w:sz w:val="14"/>
              </w:rPr>
              <w:t xml:space="preserve">6,125.44</w:t>
            </w:r>
          </w:p>
        </w:tc>
        <w:tc>
          <w:tcPr>
            <w:tcW w:w="1060" w:type="dxa"/>
            <w:tcBorders/>
            <w:vAlign w:val="center"/>
          </w:tcPr>
          <w:p>
            <w:pPr>
              <w:jc w:val="right"/>
            </w:pPr>
            <w:r>
              <w:rPr>
                <w:rFonts w:ascii="宋体" w:eastAsia="宋体" w:hAnsi="宋体" w:cs="宋体"/>
                <w:b w:val="0"/>
                <w:i w:val="0"/>
                <w:color w:val="000000"/>
                <w:sz w:val="14"/>
              </w:rPr>
              <w:t xml:space="preserve">473.59</w:t>
            </w:r>
          </w:p>
        </w:tc>
        <w:tc>
          <w:tcPr>
            <w:tcW w:w="1060" w:type="dxa"/>
            <w:tcBorders/>
            <w:vAlign w:val="center"/>
          </w:tcPr>
          <w:p>
            <w:pPr>
              <w:jc w:val="right"/>
            </w:pPr>
            <w:r>
              <w:rPr>
                <w:rFonts w:ascii="宋体" w:eastAsia="宋体" w:hAnsi="宋体" w:cs="宋体"/>
                <w:b w:val="0"/>
                <w:i w:val="0"/>
                <w:color w:val="000000"/>
                <w:sz w:val="14"/>
              </w:rPr>
              <w:t xml:space="preserve">5,651.85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2120201</w:t>
            </w:r>
          </w:p>
        </w:tc>
        <w:tc>
          <w:tcPr>
            <w:tcW w:w="3440" w:type="dxa"/>
            <w:tcBorders/>
            <w:vAlign w:val="center"/>
          </w:tcPr>
          <w:p>
            <w:pPr>
              <w:jc w:val="left"/>
            </w:pPr>
            <w:r>
              <w:rPr>
                <w:rFonts w:ascii="宋体" w:eastAsia="宋体" w:hAnsi="宋体" w:cs="宋体"/>
                <w:b w:val="0"/>
                <w:i w:val="0"/>
                <w:color w:val="000000"/>
                <w:sz w:val="14"/>
              </w:rPr>
              <w:t xml:space="preserve">城乡社区规划与管理</w:t>
            </w:r>
          </w:p>
        </w:tc>
        <w:tc>
          <w:tcPr>
            <w:tcW w:w="1060" w:type="dxa"/>
            <w:tcBorders/>
            <w:vAlign w:val="center"/>
          </w:tcPr>
          <w:p>
            <w:pPr>
              <w:jc w:val="right"/>
            </w:pPr>
            <w:r>
              <w:rPr>
                <w:rFonts w:ascii="宋体" w:eastAsia="宋体" w:hAnsi="宋体" w:cs="宋体"/>
                <w:b w:val="0"/>
                <w:i w:val="0"/>
                <w:color w:val="000000"/>
                <w:sz w:val="14"/>
              </w:rPr>
              <w:t xml:space="preserve">6,125.44</w:t>
            </w:r>
          </w:p>
        </w:tc>
        <w:tc>
          <w:tcPr>
            <w:tcW w:w="1060" w:type="dxa"/>
            <w:tcBorders/>
            <w:vAlign w:val="center"/>
          </w:tcPr>
          <w:p>
            <w:pPr>
              <w:jc w:val="right"/>
            </w:pPr>
            <w:r>
              <w:rPr>
                <w:rFonts w:ascii="宋体" w:eastAsia="宋体" w:hAnsi="宋体" w:cs="宋体"/>
                <w:b w:val="0"/>
                <w:i w:val="0"/>
                <w:color w:val="000000"/>
                <w:sz w:val="14"/>
              </w:rPr>
              <w:t xml:space="preserve">473.59</w:t>
            </w:r>
          </w:p>
        </w:tc>
        <w:tc>
          <w:tcPr>
            <w:tcW w:w="1060" w:type="dxa"/>
            <w:tcBorders/>
            <w:vAlign w:val="center"/>
          </w:tcPr>
          <w:p>
            <w:pPr>
              <w:jc w:val="right"/>
            </w:pPr>
            <w:r>
              <w:rPr>
                <w:rFonts w:ascii="宋体" w:eastAsia="宋体" w:hAnsi="宋体" w:cs="宋体"/>
                <w:b w:val="0"/>
                <w:i w:val="0"/>
                <w:color w:val="000000"/>
                <w:sz w:val="14"/>
              </w:rPr>
              <w:t xml:space="preserve">5,651.85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79.54</w:t>
            </w:r>
          </w:p>
        </w:tc>
        <w:tc>
          <w:tcPr>
            <w:tcW w:w="1060" w:type="dxa"/>
            <w:tcBorders/>
            <w:vAlign w:val="center"/>
          </w:tcPr>
          <w:p>
            <w:pPr>
              <w:jc w:val="right"/>
            </w:pPr>
            <w:r>
              <w:rPr>
                <w:rFonts w:ascii="宋体" w:eastAsia="宋体" w:hAnsi="宋体" w:cs="宋体"/>
                <w:b w:val="0"/>
                <w:i w:val="0"/>
                <w:color w:val="000000"/>
                <w:sz w:val="14"/>
              </w:rPr>
              <w:t xml:space="preserve">79.54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79.54</w:t>
            </w:r>
          </w:p>
        </w:tc>
        <w:tc>
          <w:tcPr>
            <w:tcW w:w="1060" w:type="dxa"/>
            <w:tcBorders/>
            <w:vAlign w:val="center"/>
          </w:tcPr>
          <w:p>
            <w:pPr>
              <w:jc w:val="right"/>
            </w:pPr>
            <w:r>
              <w:rPr>
                <w:rFonts w:ascii="宋体" w:eastAsia="宋体" w:hAnsi="宋体" w:cs="宋体"/>
                <w:b w:val="0"/>
                <w:i w:val="0"/>
                <w:color w:val="000000"/>
                <w:sz w:val="14"/>
              </w:rPr>
              <w:t xml:space="preserve">79.54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79.54</w:t>
            </w:r>
          </w:p>
        </w:tc>
        <w:tc>
          <w:tcPr>
            <w:tcW w:w="1060" w:type="dxa"/>
            <w:tcBorders/>
            <w:vAlign w:val="center"/>
          </w:tcPr>
          <w:p>
            <w:pPr>
              <w:jc w:val="right"/>
            </w:pPr>
            <w:r>
              <w:rPr>
                <w:rFonts w:ascii="宋体" w:eastAsia="宋体" w:hAnsi="宋体" w:cs="宋体"/>
                <w:b w:val="0"/>
                <w:i w:val="0"/>
                <w:color w:val="000000"/>
                <w:sz w:val="14"/>
              </w:rPr>
              <w:t xml:space="preserve">79.54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w:t>
            </w:r>
          </w:p>
        </w:tc>
        <w:tc>
          <w:tcPr>
            <w:tcW w:w="3440" w:type="dxa"/>
            <w:tcBorders/>
            <w:vAlign w:val="center"/>
          </w:tcPr>
          <w:p>
            <w:pPr>
              <w:jc w:val="left"/>
            </w:pPr>
            <w:r>
              <w:rPr>
                <w:rFonts w:ascii="宋体" w:eastAsia="宋体" w:hAnsi="宋体" w:cs="宋体"/>
                <w:b w:val="0"/>
                <w:i w:val="0"/>
                <w:color w:val="000000"/>
                <w:sz w:val="14"/>
              </w:rPr>
              <w:t xml:space="preserve">其他政府性基金及对应专项债务收入安排的支出</w:t>
            </w: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2290402</w:t>
            </w:r>
          </w:p>
        </w:tc>
        <w:tc>
          <w:tcPr>
            <w:tcW w:w="3440" w:type="dxa"/>
            <w:tcBorders/>
            <w:vAlign w:val="center"/>
          </w:tcPr>
          <w:p>
            <w:pPr>
              <w:jc w:val="left"/>
            </w:pPr>
            <w:r>
              <w:rPr>
                <w:rFonts w:ascii="宋体" w:eastAsia="宋体" w:hAnsi="宋体" w:cs="宋体"/>
                <w:b w:val="0"/>
                <w:i w:val="0"/>
                <w:color w:val="000000"/>
                <w:sz w:val="14"/>
              </w:rPr>
              <w:t xml:space="preserve">其他地方自行试点项目收益专项债券收入安排的支出</w:t>
            </w: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7,673.55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4.68</w:t>
            </w:r>
          </w:p>
        </w:tc>
        <w:tc>
          <w:tcPr>
            <w:tcW w:w="1100" w:type="dxa"/>
            <w:tcBorders/>
            <w:vAlign w:val="center"/>
          </w:tcPr>
          <w:p>
            <w:pPr>
              <w:jc w:val="right"/>
            </w:pPr>
            <w:r>
              <w:rPr>
                <w:rFonts w:ascii="宋体" w:eastAsia="宋体" w:hAnsi="宋体" w:cs="宋体"/>
                <w:b w:val="0"/>
                <w:i w:val="0"/>
                <w:color w:val="000000"/>
                <w:sz w:val="14"/>
              </w:rPr>
              <w:t xml:space="preserve">4.68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55,740.44</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94.52</w:t>
            </w:r>
          </w:p>
        </w:tc>
        <w:tc>
          <w:tcPr>
            <w:tcW w:w="1100" w:type="dxa"/>
            <w:tcBorders/>
            <w:vAlign w:val="center"/>
          </w:tcPr>
          <w:p>
            <w:pPr>
              <w:jc w:val="right"/>
            </w:pPr>
            <w:r>
              <w:rPr>
                <w:rFonts w:ascii="宋体" w:eastAsia="宋体" w:hAnsi="宋体" w:cs="宋体"/>
                <w:b w:val="0"/>
                <w:i w:val="0"/>
                <w:color w:val="000000"/>
                <w:sz w:val="14"/>
              </w:rPr>
              <w:t xml:space="preserve">94.52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29.59</w:t>
            </w:r>
          </w:p>
        </w:tc>
        <w:tc>
          <w:tcPr>
            <w:tcW w:w="1100" w:type="dxa"/>
            <w:tcBorders/>
            <w:vAlign w:val="center"/>
          </w:tcPr>
          <w:p>
            <w:pPr>
              <w:jc w:val="right"/>
            </w:pPr>
            <w:r>
              <w:rPr>
                <w:rFonts w:ascii="宋体" w:eastAsia="宋体" w:hAnsi="宋体" w:cs="宋体"/>
                <w:b w:val="0"/>
                <w:i w:val="0"/>
                <w:color w:val="000000"/>
                <w:sz w:val="14"/>
              </w:rPr>
              <w:t xml:space="preserve">29.59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9,205.67</w:t>
            </w:r>
          </w:p>
        </w:tc>
        <w:tc>
          <w:tcPr>
            <w:tcW w:w="1100" w:type="dxa"/>
            <w:tcBorders/>
            <w:vAlign w:val="center"/>
          </w:tcPr>
          <w:p>
            <w:pPr>
              <w:jc w:val="right"/>
            </w:pPr>
            <w:r>
              <w:rPr>
                <w:rFonts w:ascii="宋体" w:eastAsia="宋体" w:hAnsi="宋体" w:cs="宋体"/>
                <w:b w:val="0"/>
                <w:i w:val="0"/>
                <w:color w:val="000000"/>
                <w:sz w:val="14"/>
              </w:rPr>
              <w:t xml:space="preserve">7,465.22</w:t>
            </w:r>
          </w:p>
        </w:tc>
        <w:tc>
          <w:tcPr>
            <w:tcW w:w="1100" w:type="dxa"/>
            <w:tcBorders/>
            <w:vAlign w:val="center"/>
          </w:tcPr>
          <w:p>
            <w:pPr>
              <w:jc w:val="right"/>
            </w:pPr>
            <w:r>
              <w:rPr>
                <w:rFonts w:ascii="宋体" w:eastAsia="宋体" w:hAnsi="宋体" w:cs="宋体"/>
                <w:b w:val="0"/>
                <w:i w:val="0"/>
                <w:color w:val="000000"/>
                <w:sz w:val="14"/>
              </w:rPr>
              <w:t xml:space="preserve">1,740.44</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79.54</w:t>
            </w:r>
          </w:p>
        </w:tc>
        <w:tc>
          <w:tcPr>
            <w:tcW w:w="1100" w:type="dxa"/>
            <w:tcBorders/>
            <w:vAlign w:val="center"/>
          </w:tcPr>
          <w:p>
            <w:pPr>
              <w:jc w:val="right"/>
            </w:pPr>
            <w:r>
              <w:rPr>
                <w:rFonts w:ascii="宋体" w:eastAsia="宋体" w:hAnsi="宋体" w:cs="宋体"/>
                <w:b w:val="0"/>
                <w:i w:val="0"/>
                <w:color w:val="000000"/>
                <w:sz w:val="14"/>
              </w:rPr>
              <w:t xml:space="preserve">79.54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54,000.00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54,000.00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63,413.99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63,413.99</w:t>
            </w:r>
          </w:p>
        </w:tc>
        <w:tc>
          <w:tcPr>
            <w:tcW w:w="1100" w:type="dxa"/>
            <w:tcBorders/>
            <w:vAlign w:val="center"/>
          </w:tcPr>
          <w:p>
            <w:pPr>
              <w:jc w:val="right"/>
            </w:pPr>
            <w:r>
              <w:rPr>
                <w:rFonts w:ascii="宋体" w:eastAsia="宋体" w:hAnsi="宋体" w:cs="宋体"/>
                <w:b w:val="0"/>
                <w:i w:val="0"/>
                <w:color w:val="000000"/>
                <w:sz w:val="14"/>
              </w:rPr>
              <w:t xml:space="preserve">7,673.55</w:t>
            </w:r>
          </w:p>
        </w:tc>
        <w:tc>
          <w:tcPr>
            <w:tcW w:w="1100" w:type="dxa"/>
            <w:tcBorders/>
            <w:vAlign w:val="center"/>
          </w:tcPr>
          <w:p>
            <w:pPr>
              <w:jc w:val="right"/>
            </w:pPr>
            <w:r>
              <w:rPr>
                <w:rFonts w:ascii="宋体" w:eastAsia="宋体" w:hAnsi="宋体" w:cs="宋体"/>
                <w:b w:val="0"/>
                <w:i w:val="0"/>
                <w:color w:val="000000"/>
                <w:sz w:val="14"/>
              </w:rPr>
              <w:t xml:space="preserve">55,740.44</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63,413.99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63,413.99</w:t>
            </w:r>
          </w:p>
        </w:tc>
        <w:tc>
          <w:tcPr>
            <w:tcW w:w="1100" w:type="dxa"/>
            <w:tcBorders/>
            <w:vAlign w:val="center"/>
          </w:tcPr>
          <w:p>
            <w:pPr>
              <w:jc w:val="right"/>
            </w:pPr>
            <w:r>
              <w:rPr>
                <w:rFonts w:ascii="宋体" w:eastAsia="宋体" w:hAnsi="宋体" w:cs="宋体"/>
                <w:b w:val="0"/>
                <w:i w:val="0"/>
                <w:color w:val="000000"/>
                <w:sz w:val="14"/>
              </w:rPr>
              <w:t xml:space="preserve">7,673.55</w:t>
            </w:r>
          </w:p>
        </w:tc>
        <w:tc>
          <w:tcPr>
            <w:tcW w:w="1100" w:type="dxa"/>
            <w:tcBorders/>
            <w:vAlign w:val="center"/>
          </w:tcPr>
          <w:p>
            <w:pPr>
              <w:jc w:val="right"/>
            </w:pPr>
            <w:r>
              <w:rPr>
                <w:rFonts w:ascii="宋体" w:eastAsia="宋体" w:hAnsi="宋体" w:cs="宋体"/>
                <w:b w:val="0"/>
                <w:i w:val="0"/>
                <w:color w:val="000000"/>
                <w:sz w:val="14"/>
              </w:rPr>
              <w:t xml:space="preserve">55,740.44</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7,673.55</w:t>
            </w:r>
          </w:p>
        </w:tc>
        <w:tc>
          <w:tcPr>
            <w:tcW w:w="1780" w:type="dxa"/>
            <w:tcBorders/>
            <w:vAlign w:val="center"/>
          </w:tcPr>
          <w:p>
            <w:pPr>
              <w:jc w:val="right"/>
            </w:pPr>
            <w:r>
              <w:rPr>
                <w:rFonts w:ascii="宋体" w:eastAsia="宋体" w:hAnsi="宋体" w:cs="宋体"/>
                <w:b/>
                <w:i w:val="0"/>
                <w:color w:val="000000"/>
                <w:sz w:val="18"/>
              </w:rPr>
              <w:t xml:space="preserve">756.18</w:t>
            </w:r>
          </w:p>
        </w:tc>
        <w:tc>
          <w:tcPr>
            <w:tcW w:w="1772" w:type="dxa"/>
            <w:tcBorders/>
            <w:vAlign w:val="center"/>
          </w:tcPr>
          <w:p>
            <w:pPr>
              <w:jc w:val="right"/>
            </w:pPr>
            <w:r>
              <w:rPr>
                <w:rFonts w:ascii="宋体" w:eastAsia="宋体" w:hAnsi="宋体" w:cs="宋体"/>
                <w:b/>
                <w:i w:val="0"/>
                <w:color w:val="000000"/>
                <w:sz w:val="18"/>
              </w:rPr>
              <w:t xml:space="preserve">6,917.36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94.52</w:t>
            </w:r>
          </w:p>
        </w:tc>
        <w:tc>
          <w:tcPr>
            <w:tcW w:w="1780" w:type="dxa"/>
            <w:tcBorders/>
            <w:vAlign w:val="center"/>
          </w:tcPr>
          <w:p>
            <w:pPr>
              <w:jc w:val="right"/>
            </w:pPr>
            <w:r>
              <w:rPr>
                <w:rFonts w:ascii="宋体" w:eastAsia="宋体" w:hAnsi="宋体" w:cs="宋体"/>
                <w:b w:val="0"/>
                <w:i w:val="0"/>
                <w:color w:val="000000"/>
                <w:sz w:val="18"/>
              </w:rPr>
              <w:t xml:space="preserve">94.52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94.52</w:t>
            </w:r>
          </w:p>
        </w:tc>
        <w:tc>
          <w:tcPr>
            <w:tcW w:w="1780" w:type="dxa"/>
            <w:tcBorders/>
            <w:vAlign w:val="center"/>
          </w:tcPr>
          <w:p>
            <w:pPr>
              <w:jc w:val="right"/>
            </w:pPr>
            <w:r>
              <w:rPr>
                <w:rFonts w:ascii="宋体" w:eastAsia="宋体" w:hAnsi="宋体" w:cs="宋体"/>
                <w:b w:val="0"/>
                <w:i w:val="0"/>
                <w:color w:val="000000"/>
                <w:sz w:val="18"/>
              </w:rPr>
              <w:t xml:space="preserve">94.52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3.59</w:t>
            </w:r>
          </w:p>
        </w:tc>
        <w:tc>
          <w:tcPr>
            <w:tcW w:w="1780" w:type="dxa"/>
            <w:tcBorders/>
            <w:vAlign w:val="center"/>
          </w:tcPr>
          <w:p>
            <w:pPr>
              <w:jc w:val="right"/>
            </w:pPr>
            <w:r>
              <w:rPr>
                <w:rFonts w:ascii="宋体" w:eastAsia="宋体" w:hAnsi="宋体" w:cs="宋体"/>
                <w:b w:val="0"/>
                <w:i w:val="0"/>
                <w:color w:val="000000"/>
                <w:sz w:val="18"/>
              </w:rPr>
              <w:t xml:space="preserve">3.59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74.42</w:t>
            </w:r>
          </w:p>
        </w:tc>
        <w:tc>
          <w:tcPr>
            <w:tcW w:w="1780" w:type="dxa"/>
            <w:tcBorders/>
            <w:vAlign w:val="center"/>
          </w:tcPr>
          <w:p>
            <w:pPr>
              <w:jc w:val="right"/>
            </w:pPr>
            <w:r>
              <w:rPr>
                <w:rFonts w:ascii="宋体" w:eastAsia="宋体" w:hAnsi="宋体" w:cs="宋体"/>
                <w:b w:val="0"/>
                <w:i w:val="0"/>
                <w:color w:val="000000"/>
                <w:sz w:val="18"/>
              </w:rPr>
              <w:t xml:space="preserve">74.42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14.09</w:t>
            </w:r>
          </w:p>
        </w:tc>
        <w:tc>
          <w:tcPr>
            <w:tcW w:w="1780" w:type="dxa"/>
            <w:tcBorders/>
            <w:vAlign w:val="center"/>
          </w:tcPr>
          <w:p>
            <w:pPr>
              <w:jc w:val="right"/>
            </w:pPr>
            <w:r>
              <w:rPr>
                <w:rFonts w:ascii="宋体" w:eastAsia="宋体" w:hAnsi="宋体" w:cs="宋体"/>
                <w:b w:val="0"/>
                <w:i w:val="0"/>
                <w:color w:val="000000"/>
                <w:sz w:val="18"/>
              </w:rPr>
              <w:t xml:space="preserve">14.09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29.58</w:t>
            </w:r>
          </w:p>
        </w:tc>
        <w:tc>
          <w:tcPr>
            <w:tcW w:w="1780" w:type="dxa"/>
            <w:tcBorders/>
            <w:vAlign w:val="center"/>
          </w:tcPr>
          <w:p>
            <w:pPr>
              <w:jc w:val="right"/>
            </w:pPr>
            <w:r>
              <w:rPr>
                <w:rFonts w:ascii="宋体" w:eastAsia="宋体" w:hAnsi="宋体" w:cs="宋体"/>
                <w:b w:val="0"/>
                <w:i w:val="0"/>
                <w:color w:val="000000"/>
                <w:sz w:val="18"/>
              </w:rPr>
              <w:t xml:space="preserve">29.58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29.58</w:t>
            </w:r>
          </w:p>
        </w:tc>
        <w:tc>
          <w:tcPr>
            <w:tcW w:w="1780" w:type="dxa"/>
            <w:tcBorders/>
            <w:vAlign w:val="center"/>
          </w:tcPr>
          <w:p>
            <w:pPr>
              <w:jc w:val="right"/>
            </w:pPr>
            <w:r>
              <w:rPr>
                <w:rFonts w:ascii="宋体" w:eastAsia="宋体" w:hAnsi="宋体" w:cs="宋体"/>
                <w:b w:val="0"/>
                <w:i w:val="0"/>
                <w:color w:val="000000"/>
                <w:sz w:val="18"/>
              </w:rPr>
              <w:t xml:space="preserve">29.58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7,465.22</w:t>
            </w:r>
          </w:p>
        </w:tc>
        <w:tc>
          <w:tcPr>
            <w:tcW w:w="1780" w:type="dxa"/>
            <w:tcBorders/>
            <w:vAlign w:val="center"/>
          </w:tcPr>
          <w:p>
            <w:pPr>
              <w:jc w:val="right"/>
            </w:pPr>
            <w:r>
              <w:rPr>
                <w:rFonts w:ascii="宋体" w:eastAsia="宋体" w:hAnsi="宋体" w:cs="宋体"/>
                <w:b w:val="0"/>
                <w:i w:val="0"/>
                <w:color w:val="000000"/>
                <w:sz w:val="18"/>
              </w:rPr>
              <w:t xml:space="preserve">552.54</w:t>
            </w:r>
          </w:p>
        </w:tc>
        <w:tc>
          <w:tcPr>
            <w:tcW w:w="1772" w:type="dxa"/>
            <w:tcBorders/>
            <w:vAlign w:val="center"/>
          </w:tcPr>
          <w:p>
            <w:pPr>
              <w:jc w:val="right"/>
            </w:pPr>
            <w:r>
              <w:rPr>
                <w:rFonts w:ascii="宋体" w:eastAsia="宋体" w:hAnsi="宋体" w:cs="宋体"/>
                <w:b w:val="0"/>
                <w:i w:val="0"/>
                <w:color w:val="000000"/>
                <w:sz w:val="18"/>
              </w:rPr>
              <w:t xml:space="preserve">6,912.68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334.06</w:t>
            </w:r>
          </w:p>
        </w:tc>
        <w:tc>
          <w:tcPr>
            <w:tcW w:w="1780" w:type="dxa"/>
            <w:tcBorders/>
            <w:vAlign w:val="center"/>
          </w:tcPr>
          <w:p>
            <w:pPr>
              <w:jc w:val="right"/>
            </w:pPr>
            <w:r>
              <w:rPr>
                <w:rFonts w:ascii="宋体" w:eastAsia="宋体" w:hAnsi="宋体" w:cs="宋体"/>
                <w:b w:val="0"/>
                <w:i w:val="0"/>
                <w:color w:val="000000"/>
                <w:sz w:val="18"/>
              </w:rPr>
              <w:t xml:space="preserve">78.95</w:t>
            </w:r>
          </w:p>
        </w:tc>
        <w:tc>
          <w:tcPr>
            <w:tcW w:w="1772" w:type="dxa"/>
            <w:tcBorders/>
            <w:vAlign w:val="center"/>
          </w:tcPr>
          <w:p>
            <w:pPr>
              <w:jc w:val="right"/>
            </w:pPr>
            <w:r>
              <w:rPr>
                <w:rFonts w:ascii="宋体" w:eastAsia="宋体" w:hAnsi="宋体" w:cs="宋体"/>
                <w:b w:val="0"/>
                <w:i w:val="0"/>
                <w:color w:val="000000"/>
                <w:sz w:val="18"/>
              </w:rPr>
              <w:t xml:space="preserve">255.11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78.95</w:t>
            </w:r>
          </w:p>
        </w:tc>
        <w:tc>
          <w:tcPr>
            <w:tcW w:w="1780" w:type="dxa"/>
            <w:tcBorders/>
            <w:vAlign w:val="center"/>
          </w:tcPr>
          <w:p>
            <w:pPr>
              <w:jc w:val="right"/>
            </w:pPr>
            <w:r>
              <w:rPr>
                <w:rFonts w:ascii="宋体" w:eastAsia="宋体" w:hAnsi="宋体" w:cs="宋体"/>
                <w:b w:val="0"/>
                <w:i w:val="0"/>
                <w:color w:val="000000"/>
                <w:sz w:val="18"/>
              </w:rPr>
              <w:t xml:space="preserve">78.95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255.11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255.11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21202</w:t>
            </w:r>
          </w:p>
        </w:tc>
        <w:tc>
          <w:tcPr>
            <w:tcW w:w="4300" w:type="dxa"/>
            <w:tcBorders/>
            <w:vAlign w:val="center"/>
          </w:tcPr>
          <w:p>
            <w:pPr>
              <w:jc w:val="left"/>
            </w:pPr>
            <w:r>
              <w:rPr>
                <w:rFonts w:ascii="宋体" w:eastAsia="宋体" w:hAnsi="宋体" w:cs="宋体"/>
                <w:b w:val="0"/>
                <w:i w:val="0"/>
                <w:color w:val="000000"/>
                <w:sz w:val="18"/>
              </w:rPr>
              <w:t xml:space="preserve">城乡社区规划与管理</w:t>
            </w:r>
          </w:p>
        </w:tc>
        <w:tc>
          <w:tcPr>
            <w:tcW w:w="1780" w:type="dxa"/>
            <w:tcBorders/>
            <w:vAlign w:val="center"/>
          </w:tcPr>
          <w:p>
            <w:pPr>
              <w:jc w:val="right"/>
            </w:pPr>
            <w:r>
              <w:rPr>
                <w:rFonts w:ascii="宋体" w:eastAsia="宋体" w:hAnsi="宋体" w:cs="宋体"/>
                <w:b w:val="0"/>
                <w:i w:val="0"/>
                <w:color w:val="000000"/>
                <w:sz w:val="18"/>
              </w:rPr>
              <w:t xml:space="preserve">6,125.44</w:t>
            </w:r>
          </w:p>
        </w:tc>
        <w:tc>
          <w:tcPr>
            <w:tcW w:w="1780" w:type="dxa"/>
            <w:tcBorders/>
            <w:vAlign w:val="center"/>
          </w:tcPr>
          <w:p>
            <w:pPr>
              <w:jc w:val="right"/>
            </w:pPr>
            <w:r>
              <w:rPr>
                <w:rFonts w:ascii="宋体" w:eastAsia="宋体" w:hAnsi="宋体" w:cs="宋体"/>
                <w:b w:val="0"/>
                <w:i w:val="0"/>
                <w:color w:val="000000"/>
                <w:sz w:val="18"/>
              </w:rPr>
              <w:t xml:space="preserve">473.59</w:t>
            </w:r>
          </w:p>
        </w:tc>
        <w:tc>
          <w:tcPr>
            <w:tcW w:w="1772" w:type="dxa"/>
            <w:tcBorders/>
            <w:vAlign w:val="center"/>
          </w:tcPr>
          <w:p>
            <w:pPr>
              <w:jc w:val="right"/>
            </w:pPr>
            <w:r>
              <w:rPr>
                <w:rFonts w:ascii="宋体" w:eastAsia="宋体" w:hAnsi="宋体" w:cs="宋体"/>
                <w:b w:val="0"/>
                <w:i w:val="0"/>
                <w:color w:val="000000"/>
                <w:sz w:val="18"/>
              </w:rPr>
              <w:t xml:space="preserve">5,651.85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2120201</w:t>
            </w:r>
          </w:p>
        </w:tc>
        <w:tc>
          <w:tcPr>
            <w:tcW w:w="4300" w:type="dxa"/>
            <w:tcBorders/>
            <w:vAlign w:val="center"/>
          </w:tcPr>
          <w:p>
            <w:pPr>
              <w:jc w:val="left"/>
            </w:pPr>
            <w:r>
              <w:rPr>
                <w:rFonts w:ascii="宋体" w:eastAsia="宋体" w:hAnsi="宋体" w:cs="宋体"/>
                <w:b w:val="0"/>
                <w:i w:val="0"/>
                <w:color w:val="000000"/>
                <w:sz w:val="18"/>
              </w:rPr>
              <w:t xml:space="preserve">城乡社区规划与管理</w:t>
            </w:r>
          </w:p>
        </w:tc>
        <w:tc>
          <w:tcPr>
            <w:tcW w:w="1780" w:type="dxa"/>
            <w:tcBorders/>
            <w:vAlign w:val="center"/>
          </w:tcPr>
          <w:p>
            <w:pPr>
              <w:jc w:val="right"/>
            </w:pPr>
            <w:r>
              <w:rPr>
                <w:rFonts w:ascii="宋体" w:eastAsia="宋体" w:hAnsi="宋体" w:cs="宋体"/>
                <w:b w:val="0"/>
                <w:i w:val="0"/>
                <w:color w:val="000000"/>
                <w:sz w:val="18"/>
              </w:rPr>
              <w:t xml:space="preserve">6,125.44</w:t>
            </w:r>
          </w:p>
        </w:tc>
        <w:tc>
          <w:tcPr>
            <w:tcW w:w="1780" w:type="dxa"/>
            <w:tcBorders/>
            <w:vAlign w:val="center"/>
          </w:tcPr>
          <w:p>
            <w:pPr>
              <w:jc w:val="right"/>
            </w:pPr>
            <w:r>
              <w:rPr>
                <w:rFonts w:ascii="宋体" w:eastAsia="宋体" w:hAnsi="宋体" w:cs="宋体"/>
                <w:b w:val="0"/>
                <w:i w:val="0"/>
                <w:color w:val="000000"/>
                <w:sz w:val="18"/>
              </w:rPr>
              <w:t xml:space="preserve">473.59</w:t>
            </w:r>
          </w:p>
        </w:tc>
        <w:tc>
          <w:tcPr>
            <w:tcW w:w="1772" w:type="dxa"/>
            <w:tcBorders/>
            <w:vAlign w:val="center"/>
          </w:tcPr>
          <w:p>
            <w:pPr>
              <w:jc w:val="right"/>
            </w:pPr>
            <w:r>
              <w:rPr>
                <w:rFonts w:ascii="宋体" w:eastAsia="宋体" w:hAnsi="宋体" w:cs="宋体"/>
                <w:b w:val="0"/>
                <w:i w:val="0"/>
                <w:color w:val="000000"/>
                <w:sz w:val="18"/>
              </w:rPr>
              <w:t xml:space="preserve">5,651.85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1,005.72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1,005.72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1,005.72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1,005.72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79.54</w:t>
            </w:r>
          </w:p>
        </w:tc>
        <w:tc>
          <w:tcPr>
            <w:tcW w:w="1780" w:type="dxa"/>
            <w:tcBorders/>
            <w:vAlign w:val="center"/>
          </w:tcPr>
          <w:p>
            <w:pPr>
              <w:jc w:val="right"/>
            </w:pPr>
            <w:r>
              <w:rPr>
                <w:rFonts w:ascii="宋体" w:eastAsia="宋体" w:hAnsi="宋体" w:cs="宋体"/>
                <w:b w:val="0"/>
                <w:i w:val="0"/>
                <w:color w:val="000000"/>
                <w:sz w:val="18"/>
              </w:rPr>
              <w:t xml:space="preserve">79.54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79.54</w:t>
            </w:r>
          </w:p>
        </w:tc>
        <w:tc>
          <w:tcPr>
            <w:tcW w:w="1780" w:type="dxa"/>
            <w:tcBorders/>
            <w:vAlign w:val="center"/>
          </w:tcPr>
          <w:p>
            <w:pPr>
              <w:jc w:val="right"/>
            </w:pPr>
            <w:r>
              <w:rPr>
                <w:rFonts w:ascii="宋体" w:eastAsia="宋体" w:hAnsi="宋体" w:cs="宋体"/>
                <w:b w:val="0"/>
                <w:i w:val="0"/>
                <w:color w:val="000000"/>
                <w:sz w:val="18"/>
              </w:rPr>
              <w:t xml:space="preserve">79.54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79.54</w:t>
            </w:r>
          </w:p>
        </w:tc>
        <w:tc>
          <w:tcPr>
            <w:tcW w:w="1780" w:type="dxa"/>
            <w:tcBorders/>
            <w:vAlign w:val="center"/>
          </w:tcPr>
          <w:p>
            <w:pPr>
              <w:jc w:val="right"/>
            </w:pPr>
            <w:r>
              <w:rPr>
                <w:rFonts w:ascii="宋体" w:eastAsia="宋体" w:hAnsi="宋体" w:cs="宋体"/>
                <w:b w:val="0"/>
                <w:i w:val="0"/>
                <w:color w:val="000000"/>
                <w:sz w:val="18"/>
              </w:rPr>
              <w:t xml:space="preserve">79.54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707.60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42.46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210.04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7.66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28.21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33.22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15.26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221.57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74.42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14.09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24.99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29.59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1.66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0.81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79.54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6.01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6.01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4.00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4.96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713.61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42.59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55,740.44</w:t>
            </w:r>
          </w:p>
        </w:tc>
        <w:tc>
          <w:tcPr>
            <w:tcW w:w="1040" w:type="dxa"/>
            <w:tcBorders/>
            <w:vAlign w:val="center"/>
          </w:tcPr>
          <w:p>
            <w:pPr>
              <w:jc w:val="right"/>
            </w:pPr>
            <w:r>
              <w:rPr>
                <w:rFonts w:ascii="宋体" w:eastAsia="宋体" w:hAnsi="宋体" w:cs="宋体"/>
                <w:b/>
                <w:i w:val="0"/>
                <w:color w:val="000000"/>
                <w:sz w:val="15"/>
              </w:rPr>
              <w:t xml:space="preserve">55,740.44</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55,740.44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22904</w:t>
            </w:r>
          </w:p>
        </w:tc>
        <w:tc>
          <w:tcPr>
            <w:tcW w:w="3540" w:type="dxa"/>
            <w:tcBorders/>
            <w:vAlign w:val="center"/>
          </w:tcPr>
          <w:p>
            <w:pPr>
              <w:jc w:val="left"/>
            </w:pPr>
            <w:r>
              <w:rPr>
                <w:rFonts w:ascii="宋体" w:eastAsia="宋体" w:hAnsi="宋体" w:cs="宋体"/>
                <w:b w:val="0"/>
                <w:i w:val="0"/>
                <w:color w:val="000000"/>
                <w:sz w:val="15"/>
              </w:rPr>
              <w:t xml:space="preserve">其他政府性基金及对应专项债务收入安排的支出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2290402</w:t>
            </w:r>
          </w:p>
        </w:tc>
        <w:tc>
          <w:tcPr>
            <w:tcW w:w="3540" w:type="dxa"/>
            <w:tcBorders/>
            <w:vAlign w:val="center"/>
          </w:tcPr>
          <w:p>
            <w:pPr>
              <w:jc w:val="left"/>
            </w:pPr>
            <w:r>
              <w:rPr>
                <w:rFonts w:ascii="宋体" w:eastAsia="宋体" w:hAnsi="宋体" w:cs="宋体"/>
                <w:b w:val="0"/>
                <w:i w:val="0"/>
                <w:color w:val="000000"/>
                <w:sz w:val="15"/>
              </w:rPr>
              <w:t xml:space="preserve">其他地方自行试点项目收益专项债券收入安排的支出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部门：辽宁省沈阳市浑南区城市更新局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069001沈阳市浑南区城市更新局本级-210112000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118.84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118.84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按时、准确的，按照预算的完成全年计划。</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按时、准确的、按照预算完成全年计划。</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人均公用经费变动率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改善群众居住条件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高新区主要经济指标年增长率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信访群众投诉满意率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工程建设项目审批制度改革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069002沈阳市浑南区城市更新事务服务中心-210112000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722.69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722.69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476.80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按时、按制度、最大限度完成目标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按时完成目标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完工验收通过率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信访群众投诉满意率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规章制度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