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辽宁省沈阳市浑南区城市更新事务服务中心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辽宁省沈阳市浑南区城市更新事务服务中心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辽宁省沈阳市浑南区城市更新事务服务中心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辽宁省沈阳市浑南区城市更新事务服务中心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辽宁省沈阳市浑南区城市更新事务服务中心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辽宁省沈阳市浑南区城市更新事务服务中心概况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沈阳市浑南区城市更新事务服务中心贯彻落实党中央关于财政工作的方针政策和决策部署及省委有关要求，在履行职责过程中坚持和加强党对财政工作的集中统一领导。主要职责是：</w:t>
        <w:br/>
        <w:t xml:space="preserve">    （一）贯彻执行国家有关土地征收方面的法律、法规和政策及省、市有关要求，组织开展本区土地征收配套政策和规范性文件的研究工作。</w:t>
        <w:br/>
        <w:t xml:space="preserve">    （二）配合编制土地征收规划、总体工作方案，制定实施中长期及年度实施计划，经批准后实施。</w:t>
        <w:br/>
        <w:t xml:space="preserve">    （三）配合全区土地征收改造项目。</w:t>
        <w:br/>
        <w:t xml:space="preserve">    （四）配合实施纳入年新计划的土地房屋征收、安置及土地整合归宗工作；配合实施城市基础设施建设用地的征收工作；配合制定项目征收公告、补偿方案、征收决定等工作。</w:t>
        <w:br/>
        <w:t xml:space="preserve">    （五）负责本部门权责清单和政务服务事项清单在区政府门户网站上公布工作。</w:t>
        <w:br/>
        <w:t xml:space="preserve">    （六）负责本单位安全生产工作。</w:t>
        <w:br/>
        <w:t xml:space="preserve">    （七）完成区委、区政府交办的其他任务。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辽宁省沈阳市浑南区城市更新事务服务中心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沈阳市浑南区城市更新事务服务中心本级，本单位无下设机构。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63051.40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63051.40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7310.96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55740.44</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增加37853.73万元，增长150.23%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政府性基金预算财政拨款收入增加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63051.40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648.71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工资福利支出613.14万元；商品和服务支出31.86万元；对个人和家庭的补助3.59万元；资本性支出0.13万元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62402.69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98.97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主要包括贷款本金及利息等业务支出。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增加37853.73万元，增长150.23%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贷款本金及利息增加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63051.40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648.71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62402.69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增加37853.73万元，增长150.23%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贷款本金及利息增加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179.29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89.76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181.17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2024年度一般公共预算财政拨款支出7310.96万元。按支出功能分类科目分，包括：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（1）一般公共服务支出（类）信访事务（款）其他信访事务支出（项）4.68万元,主要是信访维稳经费等支出，完成年初预算的100%，决算数与年初预算数存在差异的主要原因是年初无预算，中途追加预算。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2.社会保障和就业支出81.80万元，具体包括：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3.59万元,主要是离退休人员单位养老等支出，完成年初预算的89.75%，决算数与年初预算数存在差异的主要原因是退休人员医疗补助未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64.12万元,主要是机关事业单位基本养老保险缴费等支出，完成年初预算的101.57%，决算数与年初预算数存在差异的主要原因是人员增加及调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14.09万元,主要是机关事业单位职业年金缴费等支出，完成年初预算的100%，决算数与年初预算数存在差异的主要原因是年初无预算，年中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3.卫生健康支出25.49万元，具体包括：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25.49万元,主要是事业单位医疗及其他行政事业单位医疗等支出，完成年初预算的100.24%，决算数与年初预算数存在差异的主要原因是人员增加及调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4.城乡社区支出7131.16万元，具体包括：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规划与管理（款）城乡社区规划与管理（项）6125.44万元,主要是城乡社区规划与管理等支出，完成年初预算的17.5%，决算数与年初预算数存在差异的主要原因是项目支出通过其他科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其他城乡社区支出（款）其他城乡社区支出（项）1005.72万元,主要是其他城乡社区支出等支出，完成年初预算的100%，决算数与年初预算数存在差异的主要原因是年初预算无此科目，支出时科目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5.住房保障支出67.84万元，具体包括：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（1）住房保障支出（类）住房改革支出（款）住房公积金（项）67.84万元,主要是住房公积金及住房补贴等支出，完成年初预算的90.18%，决算数与年初预算数存在差异的主要原因是住房补贴未发放。</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2024年度政府性基金预算财政拨款支出55740.44万元。按支出功能分类科目分，包括：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1.城乡社区支出1740.44万元，具体包括：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1740.44万元,主要是白塔工业园土地开发整理和土地开发本金及利息等支出，完成年初预算的100%，决算数与年初预算数存在差异的主要原因是年初无预算，中途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2.其他支出54000.00万元，具体包括：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其他政府性基金及对应专项债务收入安排的支出（款）其他地方自行试点项目收益专项债券收入安排的支出（项）54000.00万元,主要是白塔工业园土地开发整理和土地开发本金及利息等支出，完成年初预算的100%，决算数与年初预算数存在差异的主要原因是年初无预算，中途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648.72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616.73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31.99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具体而言，本年度我部门共组织对8个项目实施了绩效评价。从预算资金来源看，涉及一般公共预算的项目7个，涉及政府性基金预算的项目1个，涉及国有资本经营预算的项目0个。</w:t>
        <w:br/>
        <w:t xml:space="preserve">    上述评价工作共涉及财政资金39382.37万元。其中，一般公共预算资金4092.42万元，占资金总额的10.39%；政府性基金预算资金35289.95万元，占89.61%；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1个；得分在60分（含）至80分、等级为“中”的项目有2个；得分在60分以下、等级为“差”的项目有1个。各项目自评发现，部分项目存在1项问题，如：预算执行进度偏慢，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在全面自评的基础上，本部门选取了2个资金量大、社会关注度高、具有代表性的重点项目实施了部门重点评价。评价工作通过现场核查方式进行，确保了评价结果的客观性和公正性。</w:t>
        <w:br/>
        <w:t xml:space="preserve">    我部门组织对2个项目重点评价，结果显示，被评价项目整体绩效情况良好。其中：第一个重点项目为偿还以前年度工程欠款及化解历史遗留问题，涉及资金1000万元，评价平均分为100分，评级情况为优（优、良等）；第二个重点项目为派遣24，涉及资金799.23万元，评价平均分为89分，评级情况为良（优、良等）。同时，评价也发现土地开发支出项目存在问题，如：绩效指标设置不够细化。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7,310.96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4.68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55,740.44</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81.79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25.49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8,871.61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67.84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54,000.00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63,051.40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63,051.40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63,051.40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63,051.40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63,051.40</w:t>
            </w:r>
          </w:p>
        </w:tc>
        <w:tc>
          <w:tcPr>
            <w:tcW w:w="960" w:type="dxa"/>
            <w:tcBorders/>
            <w:vAlign w:val="center"/>
          </w:tcPr>
          <w:p>
            <w:pPr>
              <w:jc w:val="right"/>
            </w:pPr>
            <w:r>
              <w:rPr>
                <w:rFonts w:ascii="宋体" w:eastAsia="宋体" w:hAnsi="宋体" w:cs="宋体"/>
                <w:b/>
                <w:i w:val="0"/>
                <w:color w:val="000000"/>
                <w:sz w:val="13"/>
              </w:rPr>
              <w:t xml:space="preserve">63,051.40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jc w:val="right"/>
            </w:pPr>
            <w:r>
              <w:rPr>
                <w:rFonts w:ascii="宋体" w:eastAsia="宋体" w:hAnsi="宋体" w:cs="宋体"/>
                <w:b w:val="0"/>
                <w:i w:val="0"/>
                <w:color w:val="000000"/>
                <w:sz w:val="13"/>
              </w:rPr>
              <w:t xml:space="preserve">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81.80</w:t>
            </w:r>
          </w:p>
        </w:tc>
        <w:tc>
          <w:tcPr>
            <w:tcW w:w="960" w:type="dxa"/>
            <w:tcBorders/>
            <w:vAlign w:val="center"/>
          </w:tcPr>
          <w:p>
            <w:pPr>
              <w:jc w:val="right"/>
            </w:pPr>
            <w:r>
              <w:rPr>
                <w:rFonts w:ascii="宋体" w:eastAsia="宋体" w:hAnsi="宋体" w:cs="宋体"/>
                <w:b w:val="0"/>
                <w:i w:val="0"/>
                <w:color w:val="000000"/>
                <w:sz w:val="13"/>
              </w:rPr>
              <w:t xml:space="preserve">81.80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81.80</w:t>
            </w:r>
          </w:p>
        </w:tc>
        <w:tc>
          <w:tcPr>
            <w:tcW w:w="960" w:type="dxa"/>
            <w:tcBorders/>
            <w:vAlign w:val="center"/>
          </w:tcPr>
          <w:p>
            <w:pPr>
              <w:jc w:val="right"/>
            </w:pPr>
            <w:r>
              <w:rPr>
                <w:rFonts w:ascii="宋体" w:eastAsia="宋体" w:hAnsi="宋体" w:cs="宋体"/>
                <w:b w:val="0"/>
                <w:i w:val="0"/>
                <w:color w:val="000000"/>
                <w:sz w:val="13"/>
              </w:rPr>
              <w:t xml:space="preserve">81.80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3.59</w:t>
            </w:r>
          </w:p>
        </w:tc>
        <w:tc>
          <w:tcPr>
            <w:tcW w:w="960" w:type="dxa"/>
            <w:tcBorders/>
            <w:vAlign w:val="center"/>
          </w:tcPr>
          <w:p>
            <w:pPr>
              <w:jc w:val="right"/>
            </w:pPr>
            <w:r>
              <w:rPr>
                <w:rFonts w:ascii="宋体" w:eastAsia="宋体" w:hAnsi="宋体" w:cs="宋体"/>
                <w:b w:val="0"/>
                <w:i w:val="0"/>
                <w:color w:val="000000"/>
                <w:sz w:val="13"/>
              </w:rPr>
              <w:t xml:space="preserve">3.59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64.12</w:t>
            </w:r>
          </w:p>
        </w:tc>
        <w:tc>
          <w:tcPr>
            <w:tcW w:w="960" w:type="dxa"/>
            <w:tcBorders/>
            <w:vAlign w:val="center"/>
          </w:tcPr>
          <w:p>
            <w:pPr>
              <w:jc w:val="right"/>
            </w:pPr>
            <w:r>
              <w:rPr>
                <w:rFonts w:ascii="宋体" w:eastAsia="宋体" w:hAnsi="宋体" w:cs="宋体"/>
                <w:b w:val="0"/>
                <w:i w:val="0"/>
                <w:color w:val="000000"/>
                <w:sz w:val="13"/>
              </w:rPr>
              <w:t xml:space="preserve">64.12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14.09</w:t>
            </w:r>
          </w:p>
        </w:tc>
        <w:tc>
          <w:tcPr>
            <w:tcW w:w="960" w:type="dxa"/>
            <w:tcBorders/>
            <w:vAlign w:val="center"/>
          </w:tcPr>
          <w:p>
            <w:pPr>
              <w:jc w:val="right"/>
            </w:pPr>
            <w:r>
              <w:rPr>
                <w:rFonts w:ascii="宋体" w:eastAsia="宋体" w:hAnsi="宋体" w:cs="宋体"/>
                <w:b w:val="0"/>
                <w:i w:val="0"/>
                <w:color w:val="000000"/>
                <w:sz w:val="13"/>
              </w:rPr>
              <w:t xml:space="preserve">14.09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jc w:val="right"/>
            </w:pPr>
            <w:r>
              <w:rPr>
                <w:rFonts w:ascii="宋体" w:eastAsia="宋体" w:hAnsi="宋体" w:cs="宋体"/>
                <w:b w:val="0"/>
                <w:i w:val="0"/>
                <w:color w:val="000000"/>
                <w:sz w:val="13"/>
              </w:rPr>
              <w:t xml:space="preserve">25.49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8,871.60</w:t>
            </w:r>
          </w:p>
        </w:tc>
        <w:tc>
          <w:tcPr>
            <w:tcW w:w="960" w:type="dxa"/>
            <w:tcBorders/>
            <w:vAlign w:val="center"/>
          </w:tcPr>
          <w:p>
            <w:pPr>
              <w:jc w:val="right"/>
            </w:pPr>
            <w:r>
              <w:rPr>
                <w:rFonts w:ascii="宋体" w:eastAsia="宋体" w:hAnsi="宋体" w:cs="宋体"/>
                <w:b w:val="0"/>
                <w:i w:val="0"/>
                <w:color w:val="000000"/>
                <w:sz w:val="13"/>
              </w:rPr>
              <w:t xml:space="preserve">8,871.60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21202</w:t>
            </w:r>
          </w:p>
        </w:tc>
        <w:tc>
          <w:tcPr>
            <w:tcW w:w="3200" w:type="dxa"/>
            <w:tcBorders/>
            <w:vAlign w:val="center"/>
          </w:tcPr>
          <w:p>
            <w:pPr>
              <w:jc w:val="left"/>
            </w:pPr>
            <w:r>
              <w:rPr>
                <w:rFonts w:ascii="宋体" w:eastAsia="宋体" w:hAnsi="宋体" w:cs="宋体"/>
                <w:b w:val="0"/>
                <w:i w:val="0"/>
                <w:color w:val="000000"/>
                <w:sz w:val="13"/>
              </w:rPr>
              <w:t xml:space="preserve">城乡社区规划与管理</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2120201</w:t>
            </w:r>
          </w:p>
        </w:tc>
        <w:tc>
          <w:tcPr>
            <w:tcW w:w="3200" w:type="dxa"/>
            <w:tcBorders/>
            <w:vAlign w:val="center"/>
          </w:tcPr>
          <w:p>
            <w:pPr>
              <w:jc w:val="left"/>
            </w:pPr>
            <w:r>
              <w:rPr>
                <w:rFonts w:ascii="宋体" w:eastAsia="宋体" w:hAnsi="宋体" w:cs="宋体"/>
                <w:b w:val="0"/>
                <w:i w:val="0"/>
                <w:color w:val="000000"/>
                <w:sz w:val="13"/>
              </w:rPr>
              <w:t xml:space="preserve">城乡社区规划与管理</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jc w:val="right"/>
            </w:pPr>
            <w:r>
              <w:rPr>
                <w:rFonts w:ascii="宋体" w:eastAsia="宋体" w:hAnsi="宋体" w:cs="宋体"/>
                <w:b w:val="0"/>
                <w:i w:val="0"/>
                <w:color w:val="000000"/>
                <w:sz w:val="13"/>
              </w:rPr>
              <w:t xml:space="preserve">6,125.44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jc w:val="right"/>
            </w:pPr>
            <w:r>
              <w:rPr>
                <w:rFonts w:ascii="宋体" w:eastAsia="宋体" w:hAnsi="宋体" w:cs="宋体"/>
                <w:b w:val="0"/>
                <w:i w:val="0"/>
                <w:color w:val="000000"/>
                <w:sz w:val="13"/>
              </w:rPr>
              <w:t xml:space="preserve">1,740.44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jc w:val="right"/>
            </w:pPr>
            <w:r>
              <w:rPr>
                <w:rFonts w:ascii="宋体" w:eastAsia="宋体" w:hAnsi="宋体" w:cs="宋体"/>
                <w:b w:val="0"/>
                <w:i w:val="0"/>
                <w:color w:val="000000"/>
                <w:sz w:val="13"/>
              </w:rPr>
              <w:t xml:space="preserve">1,005.72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67.84</w:t>
            </w:r>
          </w:p>
        </w:tc>
        <w:tc>
          <w:tcPr>
            <w:tcW w:w="960" w:type="dxa"/>
            <w:tcBorders/>
            <w:vAlign w:val="center"/>
          </w:tcPr>
          <w:p>
            <w:pPr>
              <w:jc w:val="right"/>
            </w:pPr>
            <w:r>
              <w:rPr>
                <w:rFonts w:ascii="宋体" w:eastAsia="宋体" w:hAnsi="宋体" w:cs="宋体"/>
                <w:b w:val="0"/>
                <w:i w:val="0"/>
                <w:color w:val="000000"/>
                <w:sz w:val="13"/>
              </w:rPr>
              <w:t xml:space="preserve">67.84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67.84</w:t>
            </w:r>
          </w:p>
        </w:tc>
        <w:tc>
          <w:tcPr>
            <w:tcW w:w="960" w:type="dxa"/>
            <w:tcBorders/>
            <w:vAlign w:val="center"/>
          </w:tcPr>
          <w:p>
            <w:pPr>
              <w:jc w:val="right"/>
            </w:pPr>
            <w:r>
              <w:rPr>
                <w:rFonts w:ascii="宋体" w:eastAsia="宋体" w:hAnsi="宋体" w:cs="宋体"/>
                <w:b w:val="0"/>
                <w:i w:val="0"/>
                <w:color w:val="000000"/>
                <w:sz w:val="13"/>
              </w:rPr>
              <w:t xml:space="preserve">67.84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67.84</w:t>
            </w:r>
          </w:p>
        </w:tc>
        <w:tc>
          <w:tcPr>
            <w:tcW w:w="960" w:type="dxa"/>
            <w:tcBorders/>
            <w:vAlign w:val="center"/>
          </w:tcPr>
          <w:p>
            <w:pPr>
              <w:jc w:val="right"/>
            </w:pPr>
            <w:r>
              <w:rPr>
                <w:rFonts w:ascii="宋体" w:eastAsia="宋体" w:hAnsi="宋体" w:cs="宋体"/>
                <w:b w:val="0"/>
                <w:i w:val="0"/>
                <w:color w:val="000000"/>
                <w:sz w:val="13"/>
              </w:rPr>
              <w:t xml:space="preserve">67.84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w:t>
            </w:r>
          </w:p>
        </w:tc>
        <w:tc>
          <w:tcPr>
            <w:tcW w:w="3200" w:type="dxa"/>
            <w:tcBorders/>
            <w:vAlign w:val="center"/>
          </w:tcPr>
          <w:p>
            <w:pPr>
              <w:jc w:val="left"/>
            </w:pPr>
            <w:r>
              <w:rPr>
                <w:rFonts w:ascii="宋体" w:eastAsia="宋体" w:hAnsi="宋体" w:cs="宋体"/>
                <w:b w:val="0"/>
                <w:i w:val="0"/>
                <w:color w:val="000000"/>
                <w:sz w:val="13"/>
              </w:rPr>
              <w:t xml:space="preserve">其他政府性基金及对应专项债务收入安排的支出</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2290402</w:t>
            </w:r>
          </w:p>
        </w:tc>
        <w:tc>
          <w:tcPr>
            <w:tcW w:w="3200" w:type="dxa"/>
            <w:tcBorders/>
            <w:vAlign w:val="center"/>
          </w:tcPr>
          <w:p>
            <w:pPr>
              <w:jc w:val="left"/>
            </w:pPr>
            <w:r>
              <w:rPr>
                <w:rFonts w:ascii="宋体" w:eastAsia="宋体" w:hAnsi="宋体" w:cs="宋体"/>
                <w:b w:val="0"/>
                <w:i w:val="0"/>
                <w:color w:val="000000"/>
                <w:sz w:val="13"/>
              </w:rPr>
              <w:t xml:space="preserve">其他地方自行试点项目收益专项债券收入安排的支出</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jc w:val="right"/>
            </w:pPr>
            <w:r>
              <w:rPr>
                <w:rFonts w:ascii="宋体" w:eastAsia="宋体" w:hAnsi="宋体" w:cs="宋体"/>
                <w:b w:val="0"/>
                <w:i w:val="0"/>
                <w:color w:val="000000"/>
                <w:sz w:val="13"/>
              </w:rPr>
              <w:t xml:space="preserve">54,000.00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63,051.40</w:t>
            </w:r>
          </w:p>
        </w:tc>
        <w:tc>
          <w:tcPr>
            <w:tcW w:w="1060" w:type="dxa"/>
            <w:tcBorders/>
            <w:vAlign w:val="center"/>
          </w:tcPr>
          <w:p>
            <w:pPr>
              <w:jc w:val="right"/>
            </w:pPr>
            <w:r>
              <w:rPr>
                <w:rFonts w:ascii="宋体" w:eastAsia="宋体" w:hAnsi="宋体" w:cs="宋体"/>
                <w:b/>
                <w:i w:val="0"/>
                <w:color w:val="000000"/>
                <w:sz w:val="14"/>
              </w:rPr>
              <w:t xml:space="preserve">648.71</w:t>
            </w:r>
          </w:p>
        </w:tc>
        <w:tc>
          <w:tcPr>
            <w:tcW w:w="1060" w:type="dxa"/>
            <w:tcBorders/>
            <w:vAlign w:val="center"/>
          </w:tcPr>
          <w:p>
            <w:pPr>
              <w:jc w:val="right"/>
            </w:pPr>
            <w:r>
              <w:rPr>
                <w:rFonts w:ascii="宋体" w:eastAsia="宋体" w:hAnsi="宋体" w:cs="宋体"/>
                <w:b/>
                <w:i w:val="0"/>
                <w:color w:val="000000"/>
                <w:sz w:val="14"/>
              </w:rPr>
              <w:t xml:space="preserve">62,402.69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81.80</w:t>
            </w:r>
          </w:p>
        </w:tc>
        <w:tc>
          <w:tcPr>
            <w:tcW w:w="1060" w:type="dxa"/>
            <w:tcBorders/>
            <w:vAlign w:val="center"/>
          </w:tcPr>
          <w:p>
            <w:pPr>
              <w:jc w:val="right"/>
            </w:pPr>
            <w:r>
              <w:rPr>
                <w:rFonts w:ascii="宋体" w:eastAsia="宋体" w:hAnsi="宋体" w:cs="宋体"/>
                <w:b w:val="0"/>
                <w:i w:val="0"/>
                <w:color w:val="000000"/>
                <w:sz w:val="14"/>
              </w:rPr>
              <w:t xml:space="preserve">81.80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81.80</w:t>
            </w:r>
          </w:p>
        </w:tc>
        <w:tc>
          <w:tcPr>
            <w:tcW w:w="1060" w:type="dxa"/>
            <w:tcBorders/>
            <w:vAlign w:val="center"/>
          </w:tcPr>
          <w:p>
            <w:pPr>
              <w:jc w:val="right"/>
            </w:pPr>
            <w:r>
              <w:rPr>
                <w:rFonts w:ascii="宋体" w:eastAsia="宋体" w:hAnsi="宋体" w:cs="宋体"/>
                <w:b w:val="0"/>
                <w:i w:val="0"/>
                <w:color w:val="000000"/>
                <w:sz w:val="14"/>
              </w:rPr>
              <w:t xml:space="preserve">81.80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3.59</w:t>
            </w:r>
          </w:p>
        </w:tc>
        <w:tc>
          <w:tcPr>
            <w:tcW w:w="1060" w:type="dxa"/>
            <w:tcBorders/>
            <w:vAlign w:val="center"/>
          </w:tcPr>
          <w:p>
            <w:pPr>
              <w:jc w:val="right"/>
            </w:pPr>
            <w:r>
              <w:rPr>
                <w:rFonts w:ascii="宋体" w:eastAsia="宋体" w:hAnsi="宋体" w:cs="宋体"/>
                <w:b w:val="0"/>
                <w:i w:val="0"/>
                <w:color w:val="000000"/>
                <w:sz w:val="14"/>
              </w:rPr>
              <w:t xml:space="preserve">3.59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64.12</w:t>
            </w:r>
          </w:p>
        </w:tc>
        <w:tc>
          <w:tcPr>
            <w:tcW w:w="1060" w:type="dxa"/>
            <w:tcBorders/>
            <w:vAlign w:val="center"/>
          </w:tcPr>
          <w:p>
            <w:pPr>
              <w:jc w:val="right"/>
            </w:pPr>
            <w:r>
              <w:rPr>
                <w:rFonts w:ascii="宋体" w:eastAsia="宋体" w:hAnsi="宋体" w:cs="宋体"/>
                <w:b w:val="0"/>
                <w:i w:val="0"/>
                <w:color w:val="000000"/>
                <w:sz w:val="14"/>
              </w:rPr>
              <w:t xml:space="preserve">64.12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14.09</w:t>
            </w:r>
          </w:p>
        </w:tc>
        <w:tc>
          <w:tcPr>
            <w:tcW w:w="1060" w:type="dxa"/>
            <w:tcBorders/>
            <w:vAlign w:val="center"/>
          </w:tcPr>
          <w:p>
            <w:pPr>
              <w:jc w:val="right"/>
            </w:pPr>
            <w:r>
              <w:rPr>
                <w:rFonts w:ascii="宋体" w:eastAsia="宋体" w:hAnsi="宋体" w:cs="宋体"/>
                <w:b w:val="0"/>
                <w:i w:val="0"/>
                <w:color w:val="000000"/>
                <w:sz w:val="14"/>
              </w:rPr>
              <w:t xml:space="preserve">14.09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jc w:val="right"/>
            </w:pPr>
            <w:r>
              <w:rPr>
                <w:rFonts w:ascii="宋体" w:eastAsia="宋体" w:hAnsi="宋体" w:cs="宋体"/>
                <w:b w:val="0"/>
                <w:i w:val="0"/>
                <w:color w:val="000000"/>
                <w:sz w:val="14"/>
              </w:rPr>
              <w:t xml:space="preserve">25.49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8,871.60</w:t>
            </w:r>
          </w:p>
        </w:tc>
        <w:tc>
          <w:tcPr>
            <w:tcW w:w="1060" w:type="dxa"/>
            <w:tcBorders/>
            <w:vAlign w:val="center"/>
          </w:tcPr>
          <w:p>
            <w:pPr>
              <w:jc w:val="right"/>
            </w:pPr>
            <w:r>
              <w:rPr>
                <w:rFonts w:ascii="宋体" w:eastAsia="宋体" w:hAnsi="宋体" w:cs="宋体"/>
                <w:b w:val="0"/>
                <w:i w:val="0"/>
                <w:color w:val="000000"/>
                <w:sz w:val="14"/>
              </w:rPr>
              <w:t xml:space="preserve">473.59</w:t>
            </w:r>
          </w:p>
        </w:tc>
        <w:tc>
          <w:tcPr>
            <w:tcW w:w="1060" w:type="dxa"/>
            <w:tcBorders/>
            <w:vAlign w:val="center"/>
          </w:tcPr>
          <w:p>
            <w:pPr>
              <w:jc w:val="right"/>
            </w:pPr>
            <w:r>
              <w:rPr>
                <w:rFonts w:ascii="宋体" w:eastAsia="宋体" w:hAnsi="宋体" w:cs="宋体"/>
                <w:b w:val="0"/>
                <w:i w:val="0"/>
                <w:color w:val="000000"/>
                <w:sz w:val="14"/>
              </w:rPr>
              <w:t xml:space="preserve">8,398.01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21202</w:t>
            </w:r>
          </w:p>
        </w:tc>
        <w:tc>
          <w:tcPr>
            <w:tcW w:w="3440" w:type="dxa"/>
            <w:tcBorders/>
            <w:vAlign w:val="center"/>
          </w:tcPr>
          <w:p>
            <w:pPr>
              <w:jc w:val="left"/>
            </w:pPr>
            <w:r>
              <w:rPr>
                <w:rFonts w:ascii="宋体" w:eastAsia="宋体" w:hAnsi="宋体" w:cs="宋体"/>
                <w:b w:val="0"/>
                <w:i w:val="0"/>
                <w:color w:val="000000"/>
                <w:sz w:val="14"/>
              </w:rPr>
              <w:t xml:space="preserve">城乡社区规划与管理</w:t>
            </w:r>
          </w:p>
        </w:tc>
        <w:tc>
          <w:tcPr>
            <w:tcW w:w="1060" w:type="dxa"/>
            <w:tcBorders/>
            <w:vAlign w:val="center"/>
          </w:tcPr>
          <w:p>
            <w:pPr>
              <w:jc w:val="right"/>
            </w:pPr>
            <w:r>
              <w:rPr>
                <w:rFonts w:ascii="宋体" w:eastAsia="宋体" w:hAnsi="宋体" w:cs="宋体"/>
                <w:b w:val="0"/>
                <w:i w:val="0"/>
                <w:color w:val="000000"/>
                <w:sz w:val="14"/>
              </w:rPr>
              <w:t xml:space="preserve">6,125.44</w:t>
            </w:r>
          </w:p>
        </w:tc>
        <w:tc>
          <w:tcPr>
            <w:tcW w:w="1060" w:type="dxa"/>
            <w:tcBorders/>
            <w:vAlign w:val="center"/>
          </w:tcPr>
          <w:p>
            <w:pPr>
              <w:jc w:val="right"/>
            </w:pPr>
            <w:r>
              <w:rPr>
                <w:rFonts w:ascii="宋体" w:eastAsia="宋体" w:hAnsi="宋体" w:cs="宋体"/>
                <w:b w:val="0"/>
                <w:i w:val="0"/>
                <w:color w:val="000000"/>
                <w:sz w:val="14"/>
              </w:rPr>
              <w:t xml:space="preserve">473.59</w:t>
            </w:r>
          </w:p>
        </w:tc>
        <w:tc>
          <w:tcPr>
            <w:tcW w:w="1060" w:type="dxa"/>
            <w:tcBorders/>
            <w:vAlign w:val="center"/>
          </w:tcPr>
          <w:p>
            <w:pPr>
              <w:jc w:val="right"/>
            </w:pPr>
            <w:r>
              <w:rPr>
                <w:rFonts w:ascii="宋体" w:eastAsia="宋体" w:hAnsi="宋体" w:cs="宋体"/>
                <w:b w:val="0"/>
                <w:i w:val="0"/>
                <w:color w:val="000000"/>
                <w:sz w:val="14"/>
              </w:rPr>
              <w:t xml:space="preserve">5,651.85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2120201</w:t>
            </w:r>
          </w:p>
        </w:tc>
        <w:tc>
          <w:tcPr>
            <w:tcW w:w="3440" w:type="dxa"/>
            <w:tcBorders/>
            <w:vAlign w:val="center"/>
          </w:tcPr>
          <w:p>
            <w:pPr>
              <w:jc w:val="left"/>
            </w:pPr>
            <w:r>
              <w:rPr>
                <w:rFonts w:ascii="宋体" w:eastAsia="宋体" w:hAnsi="宋体" w:cs="宋体"/>
                <w:b w:val="0"/>
                <w:i w:val="0"/>
                <w:color w:val="000000"/>
                <w:sz w:val="14"/>
              </w:rPr>
              <w:t xml:space="preserve">城乡社区规划与管理</w:t>
            </w:r>
          </w:p>
        </w:tc>
        <w:tc>
          <w:tcPr>
            <w:tcW w:w="1060" w:type="dxa"/>
            <w:tcBorders/>
            <w:vAlign w:val="center"/>
          </w:tcPr>
          <w:p>
            <w:pPr>
              <w:jc w:val="right"/>
            </w:pPr>
            <w:r>
              <w:rPr>
                <w:rFonts w:ascii="宋体" w:eastAsia="宋体" w:hAnsi="宋体" w:cs="宋体"/>
                <w:b w:val="0"/>
                <w:i w:val="0"/>
                <w:color w:val="000000"/>
                <w:sz w:val="14"/>
              </w:rPr>
              <w:t xml:space="preserve">6,125.44</w:t>
            </w:r>
          </w:p>
        </w:tc>
        <w:tc>
          <w:tcPr>
            <w:tcW w:w="1060" w:type="dxa"/>
            <w:tcBorders/>
            <w:vAlign w:val="center"/>
          </w:tcPr>
          <w:p>
            <w:pPr>
              <w:jc w:val="right"/>
            </w:pPr>
            <w:r>
              <w:rPr>
                <w:rFonts w:ascii="宋体" w:eastAsia="宋体" w:hAnsi="宋体" w:cs="宋体"/>
                <w:b w:val="0"/>
                <w:i w:val="0"/>
                <w:color w:val="000000"/>
                <w:sz w:val="14"/>
              </w:rPr>
              <w:t xml:space="preserve">473.59</w:t>
            </w:r>
          </w:p>
        </w:tc>
        <w:tc>
          <w:tcPr>
            <w:tcW w:w="1060" w:type="dxa"/>
            <w:tcBorders/>
            <w:vAlign w:val="center"/>
          </w:tcPr>
          <w:p>
            <w:pPr>
              <w:jc w:val="right"/>
            </w:pPr>
            <w:r>
              <w:rPr>
                <w:rFonts w:ascii="宋体" w:eastAsia="宋体" w:hAnsi="宋体" w:cs="宋体"/>
                <w:b w:val="0"/>
                <w:i w:val="0"/>
                <w:color w:val="000000"/>
                <w:sz w:val="14"/>
              </w:rPr>
              <w:t xml:space="preserve">5,651.85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1,740.44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1,005.72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67.84</w:t>
            </w:r>
          </w:p>
        </w:tc>
        <w:tc>
          <w:tcPr>
            <w:tcW w:w="1060" w:type="dxa"/>
            <w:tcBorders/>
            <w:vAlign w:val="center"/>
          </w:tcPr>
          <w:p>
            <w:pPr>
              <w:jc w:val="right"/>
            </w:pPr>
            <w:r>
              <w:rPr>
                <w:rFonts w:ascii="宋体" w:eastAsia="宋体" w:hAnsi="宋体" w:cs="宋体"/>
                <w:b w:val="0"/>
                <w:i w:val="0"/>
                <w:color w:val="000000"/>
                <w:sz w:val="14"/>
              </w:rPr>
              <w:t xml:space="preserve">67.84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67.84</w:t>
            </w:r>
          </w:p>
        </w:tc>
        <w:tc>
          <w:tcPr>
            <w:tcW w:w="1060" w:type="dxa"/>
            <w:tcBorders/>
            <w:vAlign w:val="center"/>
          </w:tcPr>
          <w:p>
            <w:pPr>
              <w:jc w:val="right"/>
            </w:pPr>
            <w:r>
              <w:rPr>
                <w:rFonts w:ascii="宋体" w:eastAsia="宋体" w:hAnsi="宋体" w:cs="宋体"/>
                <w:b w:val="0"/>
                <w:i w:val="0"/>
                <w:color w:val="000000"/>
                <w:sz w:val="14"/>
              </w:rPr>
              <w:t xml:space="preserve">67.84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67.84</w:t>
            </w:r>
          </w:p>
        </w:tc>
        <w:tc>
          <w:tcPr>
            <w:tcW w:w="1060" w:type="dxa"/>
            <w:tcBorders/>
            <w:vAlign w:val="center"/>
          </w:tcPr>
          <w:p>
            <w:pPr>
              <w:jc w:val="right"/>
            </w:pPr>
            <w:r>
              <w:rPr>
                <w:rFonts w:ascii="宋体" w:eastAsia="宋体" w:hAnsi="宋体" w:cs="宋体"/>
                <w:b w:val="0"/>
                <w:i w:val="0"/>
                <w:color w:val="000000"/>
                <w:sz w:val="14"/>
              </w:rPr>
              <w:t xml:space="preserve">67.84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w:t>
            </w:r>
          </w:p>
        </w:tc>
        <w:tc>
          <w:tcPr>
            <w:tcW w:w="3440" w:type="dxa"/>
            <w:tcBorders/>
            <w:vAlign w:val="center"/>
          </w:tcPr>
          <w:p>
            <w:pPr>
              <w:jc w:val="left"/>
            </w:pPr>
            <w:r>
              <w:rPr>
                <w:rFonts w:ascii="宋体" w:eastAsia="宋体" w:hAnsi="宋体" w:cs="宋体"/>
                <w:b w:val="0"/>
                <w:i w:val="0"/>
                <w:color w:val="000000"/>
                <w:sz w:val="14"/>
              </w:rPr>
              <w:t xml:space="preserve">其他政府性基金及对应专项债务收入安排的支出</w:t>
            </w: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2290402</w:t>
            </w:r>
          </w:p>
        </w:tc>
        <w:tc>
          <w:tcPr>
            <w:tcW w:w="3440" w:type="dxa"/>
            <w:tcBorders/>
            <w:vAlign w:val="center"/>
          </w:tcPr>
          <w:p>
            <w:pPr>
              <w:jc w:val="left"/>
            </w:pPr>
            <w:r>
              <w:rPr>
                <w:rFonts w:ascii="宋体" w:eastAsia="宋体" w:hAnsi="宋体" w:cs="宋体"/>
                <w:b w:val="0"/>
                <w:i w:val="0"/>
                <w:color w:val="000000"/>
                <w:sz w:val="14"/>
              </w:rPr>
              <w:t xml:space="preserve">其他地方自行试点项目收益专项债券收入安排的支出</w:t>
            </w: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7,310.96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4.68</w:t>
            </w:r>
          </w:p>
        </w:tc>
        <w:tc>
          <w:tcPr>
            <w:tcW w:w="1100" w:type="dxa"/>
            <w:tcBorders/>
            <w:vAlign w:val="center"/>
          </w:tcPr>
          <w:p>
            <w:pPr>
              <w:jc w:val="right"/>
            </w:pPr>
            <w:r>
              <w:rPr>
                <w:rFonts w:ascii="宋体" w:eastAsia="宋体" w:hAnsi="宋体" w:cs="宋体"/>
                <w:b w:val="0"/>
                <w:i w:val="0"/>
                <w:color w:val="000000"/>
                <w:sz w:val="14"/>
              </w:rPr>
              <w:t xml:space="preserve">4.68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55,740.44</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81.79</w:t>
            </w:r>
          </w:p>
        </w:tc>
        <w:tc>
          <w:tcPr>
            <w:tcW w:w="1100" w:type="dxa"/>
            <w:tcBorders/>
            <w:vAlign w:val="center"/>
          </w:tcPr>
          <w:p>
            <w:pPr>
              <w:jc w:val="right"/>
            </w:pPr>
            <w:r>
              <w:rPr>
                <w:rFonts w:ascii="宋体" w:eastAsia="宋体" w:hAnsi="宋体" w:cs="宋体"/>
                <w:b w:val="0"/>
                <w:i w:val="0"/>
                <w:color w:val="000000"/>
                <w:sz w:val="14"/>
              </w:rPr>
              <w:t xml:space="preserve">81.79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25.49</w:t>
            </w:r>
          </w:p>
        </w:tc>
        <w:tc>
          <w:tcPr>
            <w:tcW w:w="1100" w:type="dxa"/>
            <w:tcBorders/>
            <w:vAlign w:val="center"/>
          </w:tcPr>
          <w:p>
            <w:pPr>
              <w:jc w:val="right"/>
            </w:pPr>
            <w:r>
              <w:rPr>
                <w:rFonts w:ascii="宋体" w:eastAsia="宋体" w:hAnsi="宋体" w:cs="宋体"/>
                <w:b w:val="0"/>
                <w:i w:val="0"/>
                <w:color w:val="000000"/>
                <w:sz w:val="14"/>
              </w:rPr>
              <w:t xml:space="preserve">25.49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8,871.61</w:t>
            </w:r>
          </w:p>
        </w:tc>
        <w:tc>
          <w:tcPr>
            <w:tcW w:w="1100" w:type="dxa"/>
            <w:tcBorders/>
            <w:vAlign w:val="center"/>
          </w:tcPr>
          <w:p>
            <w:pPr>
              <w:jc w:val="right"/>
            </w:pPr>
            <w:r>
              <w:rPr>
                <w:rFonts w:ascii="宋体" w:eastAsia="宋体" w:hAnsi="宋体" w:cs="宋体"/>
                <w:b w:val="0"/>
                <w:i w:val="0"/>
                <w:color w:val="000000"/>
                <w:sz w:val="14"/>
              </w:rPr>
              <w:t xml:space="preserve">7,131.16</w:t>
            </w:r>
          </w:p>
        </w:tc>
        <w:tc>
          <w:tcPr>
            <w:tcW w:w="1100" w:type="dxa"/>
            <w:tcBorders/>
            <w:vAlign w:val="center"/>
          </w:tcPr>
          <w:p>
            <w:pPr>
              <w:jc w:val="right"/>
            </w:pPr>
            <w:r>
              <w:rPr>
                <w:rFonts w:ascii="宋体" w:eastAsia="宋体" w:hAnsi="宋体" w:cs="宋体"/>
                <w:b w:val="0"/>
                <w:i w:val="0"/>
                <w:color w:val="000000"/>
                <w:sz w:val="14"/>
              </w:rPr>
              <w:t xml:space="preserve">1,740.44</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67.84</w:t>
            </w:r>
          </w:p>
        </w:tc>
        <w:tc>
          <w:tcPr>
            <w:tcW w:w="1100" w:type="dxa"/>
            <w:tcBorders/>
            <w:vAlign w:val="center"/>
          </w:tcPr>
          <w:p>
            <w:pPr>
              <w:jc w:val="right"/>
            </w:pPr>
            <w:r>
              <w:rPr>
                <w:rFonts w:ascii="宋体" w:eastAsia="宋体" w:hAnsi="宋体" w:cs="宋体"/>
                <w:b w:val="0"/>
                <w:i w:val="0"/>
                <w:color w:val="000000"/>
                <w:sz w:val="14"/>
              </w:rPr>
              <w:t xml:space="preserve">67.84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54,000.00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54,000.00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63,051.40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63,051.40</w:t>
            </w:r>
          </w:p>
        </w:tc>
        <w:tc>
          <w:tcPr>
            <w:tcW w:w="1100" w:type="dxa"/>
            <w:tcBorders/>
            <w:vAlign w:val="center"/>
          </w:tcPr>
          <w:p>
            <w:pPr>
              <w:jc w:val="right"/>
            </w:pPr>
            <w:r>
              <w:rPr>
                <w:rFonts w:ascii="宋体" w:eastAsia="宋体" w:hAnsi="宋体" w:cs="宋体"/>
                <w:b w:val="0"/>
                <w:i w:val="0"/>
                <w:color w:val="000000"/>
                <w:sz w:val="14"/>
              </w:rPr>
              <w:t xml:space="preserve">7,310.96</w:t>
            </w:r>
          </w:p>
        </w:tc>
        <w:tc>
          <w:tcPr>
            <w:tcW w:w="1100" w:type="dxa"/>
            <w:tcBorders/>
            <w:vAlign w:val="center"/>
          </w:tcPr>
          <w:p>
            <w:pPr>
              <w:jc w:val="right"/>
            </w:pPr>
            <w:r>
              <w:rPr>
                <w:rFonts w:ascii="宋体" w:eastAsia="宋体" w:hAnsi="宋体" w:cs="宋体"/>
                <w:b w:val="0"/>
                <w:i w:val="0"/>
                <w:color w:val="000000"/>
                <w:sz w:val="14"/>
              </w:rPr>
              <w:t xml:space="preserve">55,740.44</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63,051.40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63,051.40</w:t>
            </w:r>
          </w:p>
        </w:tc>
        <w:tc>
          <w:tcPr>
            <w:tcW w:w="1100" w:type="dxa"/>
            <w:tcBorders/>
            <w:vAlign w:val="center"/>
          </w:tcPr>
          <w:p>
            <w:pPr>
              <w:jc w:val="right"/>
            </w:pPr>
            <w:r>
              <w:rPr>
                <w:rFonts w:ascii="宋体" w:eastAsia="宋体" w:hAnsi="宋体" w:cs="宋体"/>
                <w:b w:val="0"/>
                <w:i w:val="0"/>
                <w:color w:val="000000"/>
                <w:sz w:val="14"/>
              </w:rPr>
              <w:t xml:space="preserve">7,310.96</w:t>
            </w:r>
          </w:p>
        </w:tc>
        <w:tc>
          <w:tcPr>
            <w:tcW w:w="1100" w:type="dxa"/>
            <w:tcBorders/>
            <w:vAlign w:val="center"/>
          </w:tcPr>
          <w:p>
            <w:pPr>
              <w:jc w:val="right"/>
            </w:pPr>
            <w:r>
              <w:rPr>
                <w:rFonts w:ascii="宋体" w:eastAsia="宋体" w:hAnsi="宋体" w:cs="宋体"/>
                <w:b w:val="0"/>
                <w:i w:val="0"/>
                <w:color w:val="000000"/>
                <w:sz w:val="14"/>
              </w:rPr>
              <w:t xml:space="preserve">55,740.44</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7,310.96</w:t>
            </w:r>
          </w:p>
        </w:tc>
        <w:tc>
          <w:tcPr>
            <w:tcW w:w="1780" w:type="dxa"/>
            <w:tcBorders/>
            <w:vAlign w:val="center"/>
          </w:tcPr>
          <w:p>
            <w:pPr>
              <w:jc w:val="right"/>
            </w:pPr>
            <w:r>
              <w:rPr>
                <w:rFonts w:ascii="宋体" w:eastAsia="宋体" w:hAnsi="宋体" w:cs="宋体"/>
                <w:b/>
                <w:i w:val="0"/>
                <w:color w:val="000000"/>
                <w:sz w:val="18"/>
              </w:rPr>
              <w:t xml:space="preserve">648.71</w:t>
            </w:r>
          </w:p>
        </w:tc>
        <w:tc>
          <w:tcPr>
            <w:tcW w:w="1772" w:type="dxa"/>
            <w:tcBorders/>
            <w:vAlign w:val="center"/>
          </w:tcPr>
          <w:p>
            <w:pPr>
              <w:jc w:val="right"/>
            </w:pPr>
            <w:r>
              <w:rPr>
                <w:rFonts w:ascii="宋体" w:eastAsia="宋体" w:hAnsi="宋体" w:cs="宋体"/>
                <w:b/>
                <w:i w:val="0"/>
                <w:color w:val="000000"/>
                <w:sz w:val="18"/>
              </w:rPr>
              <w:t xml:space="preserve">6,662.25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81.80</w:t>
            </w:r>
          </w:p>
        </w:tc>
        <w:tc>
          <w:tcPr>
            <w:tcW w:w="1780" w:type="dxa"/>
            <w:tcBorders/>
            <w:vAlign w:val="center"/>
          </w:tcPr>
          <w:p>
            <w:pPr>
              <w:jc w:val="right"/>
            </w:pPr>
            <w:r>
              <w:rPr>
                <w:rFonts w:ascii="宋体" w:eastAsia="宋体" w:hAnsi="宋体" w:cs="宋体"/>
                <w:b w:val="0"/>
                <w:i w:val="0"/>
                <w:color w:val="000000"/>
                <w:sz w:val="18"/>
              </w:rPr>
              <w:t xml:space="preserve">81.80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81.80</w:t>
            </w:r>
          </w:p>
        </w:tc>
        <w:tc>
          <w:tcPr>
            <w:tcW w:w="1780" w:type="dxa"/>
            <w:tcBorders/>
            <w:vAlign w:val="center"/>
          </w:tcPr>
          <w:p>
            <w:pPr>
              <w:jc w:val="right"/>
            </w:pPr>
            <w:r>
              <w:rPr>
                <w:rFonts w:ascii="宋体" w:eastAsia="宋体" w:hAnsi="宋体" w:cs="宋体"/>
                <w:b w:val="0"/>
                <w:i w:val="0"/>
                <w:color w:val="000000"/>
                <w:sz w:val="18"/>
              </w:rPr>
              <w:t xml:space="preserve">81.80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3.59</w:t>
            </w:r>
          </w:p>
        </w:tc>
        <w:tc>
          <w:tcPr>
            <w:tcW w:w="1780" w:type="dxa"/>
            <w:tcBorders/>
            <w:vAlign w:val="center"/>
          </w:tcPr>
          <w:p>
            <w:pPr>
              <w:jc w:val="right"/>
            </w:pPr>
            <w:r>
              <w:rPr>
                <w:rFonts w:ascii="宋体" w:eastAsia="宋体" w:hAnsi="宋体" w:cs="宋体"/>
                <w:b w:val="0"/>
                <w:i w:val="0"/>
                <w:color w:val="000000"/>
                <w:sz w:val="18"/>
              </w:rPr>
              <w:t xml:space="preserve">3.59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64.12</w:t>
            </w:r>
          </w:p>
        </w:tc>
        <w:tc>
          <w:tcPr>
            <w:tcW w:w="1780" w:type="dxa"/>
            <w:tcBorders/>
            <w:vAlign w:val="center"/>
          </w:tcPr>
          <w:p>
            <w:pPr>
              <w:jc w:val="right"/>
            </w:pPr>
            <w:r>
              <w:rPr>
                <w:rFonts w:ascii="宋体" w:eastAsia="宋体" w:hAnsi="宋体" w:cs="宋体"/>
                <w:b w:val="0"/>
                <w:i w:val="0"/>
                <w:color w:val="000000"/>
                <w:sz w:val="18"/>
              </w:rPr>
              <w:t xml:space="preserve">64.12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14.09</w:t>
            </w:r>
          </w:p>
        </w:tc>
        <w:tc>
          <w:tcPr>
            <w:tcW w:w="1780" w:type="dxa"/>
            <w:tcBorders/>
            <w:vAlign w:val="center"/>
          </w:tcPr>
          <w:p>
            <w:pPr>
              <w:jc w:val="right"/>
            </w:pPr>
            <w:r>
              <w:rPr>
                <w:rFonts w:ascii="宋体" w:eastAsia="宋体" w:hAnsi="宋体" w:cs="宋体"/>
                <w:b w:val="0"/>
                <w:i w:val="0"/>
                <w:color w:val="000000"/>
                <w:sz w:val="18"/>
              </w:rPr>
              <w:t xml:space="preserve">14.09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80" w:type="dxa"/>
            <w:tcBorders/>
            <w:vAlign w:val="center"/>
          </w:tcPr>
          <w:p>
            <w:pPr>
              <w:jc w:val="right"/>
            </w:pPr>
            <w:r>
              <w:rPr>
                <w:rFonts w:ascii="宋体" w:eastAsia="宋体" w:hAnsi="宋体" w:cs="宋体"/>
                <w:b w:val="0"/>
                <w:i w:val="0"/>
                <w:color w:val="000000"/>
                <w:sz w:val="18"/>
              </w:rPr>
              <w:t xml:space="preserve">25.49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7,131.16</w:t>
            </w:r>
          </w:p>
        </w:tc>
        <w:tc>
          <w:tcPr>
            <w:tcW w:w="1780" w:type="dxa"/>
            <w:tcBorders/>
            <w:vAlign w:val="center"/>
          </w:tcPr>
          <w:p>
            <w:pPr>
              <w:jc w:val="right"/>
            </w:pPr>
            <w:r>
              <w:rPr>
                <w:rFonts w:ascii="宋体" w:eastAsia="宋体" w:hAnsi="宋体" w:cs="宋体"/>
                <w:b w:val="0"/>
                <w:i w:val="0"/>
                <w:color w:val="000000"/>
                <w:sz w:val="18"/>
              </w:rPr>
              <w:t xml:space="preserve">473.59</w:t>
            </w:r>
          </w:p>
        </w:tc>
        <w:tc>
          <w:tcPr>
            <w:tcW w:w="1772" w:type="dxa"/>
            <w:tcBorders/>
            <w:vAlign w:val="center"/>
          </w:tcPr>
          <w:p>
            <w:pPr>
              <w:jc w:val="right"/>
            </w:pPr>
            <w:r>
              <w:rPr>
                <w:rFonts w:ascii="宋体" w:eastAsia="宋体" w:hAnsi="宋体" w:cs="宋体"/>
                <w:b w:val="0"/>
                <w:i w:val="0"/>
                <w:color w:val="000000"/>
                <w:sz w:val="18"/>
              </w:rPr>
              <w:t xml:space="preserve">6,657.57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21202</w:t>
            </w:r>
          </w:p>
        </w:tc>
        <w:tc>
          <w:tcPr>
            <w:tcW w:w="4300" w:type="dxa"/>
            <w:tcBorders/>
            <w:vAlign w:val="center"/>
          </w:tcPr>
          <w:p>
            <w:pPr>
              <w:jc w:val="left"/>
            </w:pPr>
            <w:r>
              <w:rPr>
                <w:rFonts w:ascii="宋体" w:eastAsia="宋体" w:hAnsi="宋体" w:cs="宋体"/>
                <w:b w:val="0"/>
                <w:i w:val="0"/>
                <w:color w:val="000000"/>
                <w:sz w:val="18"/>
              </w:rPr>
              <w:t xml:space="preserve">城乡社区规划与管理</w:t>
            </w:r>
          </w:p>
        </w:tc>
        <w:tc>
          <w:tcPr>
            <w:tcW w:w="1780" w:type="dxa"/>
            <w:tcBorders/>
            <w:vAlign w:val="center"/>
          </w:tcPr>
          <w:p>
            <w:pPr>
              <w:jc w:val="right"/>
            </w:pPr>
            <w:r>
              <w:rPr>
                <w:rFonts w:ascii="宋体" w:eastAsia="宋体" w:hAnsi="宋体" w:cs="宋体"/>
                <w:b w:val="0"/>
                <w:i w:val="0"/>
                <w:color w:val="000000"/>
                <w:sz w:val="18"/>
              </w:rPr>
              <w:t xml:space="preserve">6,125.44</w:t>
            </w:r>
          </w:p>
        </w:tc>
        <w:tc>
          <w:tcPr>
            <w:tcW w:w="1780" w:type="dxa"/>
            <w:tcBorders/>
            <w:vAlign w:val="center"/>
          </w:tcPr>
          <w:p>
            <w:pPr>
              <w:jc w:val="right"/>
            </w:pPr>
            <w:r>
              <w:rPr>
                <w:rFonts w:ascii="宋体" w:eastAsia="宋体" w:hAnsi="宋体" w:cs="宋体"/>
                <w:b w:val="0"/>
                <w:i w:val="0"/>
                <w:color w:val="000000"/>
                <w:sz w:val="18"/>
              </w:rPr>
              <w:t xml:space="preserve">473.59</w:t>
            </w:r>
          </w:p>
        </w:tc>
        <w:tc>
          <w:tcPr>
            <w:tcW w:w="1772" w:type="dxa"/>
            <w:tcBorders/>
            <w:vAlign w:val="center"/>
          </w:tcPr>
          <w:p>
            <w:pPr>
              <w:jc w:val="right"/>
            </w:pPr>
            <w:r>
              <w:rPr>
                <w:rFonts w:ascii="宋体" w:eastAsia="宋体" w:hAnsi="宋体" w:cs="宋体"/>
                <w:b w:val="0"/>
                <w:i w:val="0"/>
                <w:color w:val="000000"/>
                <w:sz w:val="18"/>
              </w:rPr>
              <w:t xml:space="preserve">5,651.85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2120201</w:t>
            </w:r>
          </w:p>
        </w:tc>
        <w:tc>
          <w:tcPr>
            <w:tcW w:w="4300" w:type="dxa"/>
            <w:tcBorders/>
            <w:vAlign w:val="center"/>
          </w:tcPr>
          <w:p>
            <w:pPr>
              <w:jc w:val="left"/>
            </w:pPr>
            <w:r>
              <w:rPr>
                <w:rFonts w:ascii="宋体" w:eastAsia="宋体" w:hAnsi="宋体" w:cs="宋体"/>
                <w:b w:val="0"/>
                <w:i w:val="0"/>
                <w:color w:val="000000"/>
                <w:sz w:val="18"/>
              </w:rPr>
              <w:t xml:space="preserve">城乡社区规划与管理</w:t>
            </w:r>
          </w:p>
        </w:tc>
        <w:tc>
          <w:tcPr>
            <w:tcW w:w="1780" w:type="dxa"/>
            <w:tcBorders/>
            <w:vAlign w:val="center"/>
          </w:tcPr>
          <w:p>
            <w:pPr>
              <w:jc w:val="right"/>
            </w:pPr>
            <w:r>
              <w:rPr>
                <w:rFonts w:ascii="宋体" w:eastAsia="宋体" w:hAnsi="宋体" w:cs="宋体"/>
                <w:b w:val="0"/>
                <w:i w:val="0"/>
                <w:color w:val="000000"/>
                <w:sz w:val="18"/>
              </w:rPr>
              <w:t xml:space="preserve">6,125.44</w:t>
            </w:r>
          </w:p>
        </w:tc>
        <w:tc>
          <w:tcPr>
            <w:tcW w:w="1780" w:type="dxa"/>
            <w:tcBorders/>
            <w:vAlign w:val="center"/>
          </w:tcPr>
          <w:p>
            <w:pPr>
              <w:jc w:val="right"/>
            </w:pPr>
            <w:r>
              <w:rPr>
                <w:rFonts w:ascii="宋体" w:eastAsia="宋体" w:hAnsi="宋体" w:cs="宋体"/>
                <w:b w:val="0"/>
                <w:i w:val="0"/>
                <w:color w:val="000000"/>
                <w:sz w:val="18"/>
              </w:rPr>
              <w:t xml:space="preserve">473.59</w:t>
            </w:r>
          </w:p>
        </w:tc>
        <w:tc>
          <w:tcPr>
            <w:tcW w:w="1772" w:type="dxa"/>
            <w:tcBorders/>
            <w:vAlign w:val="center"/>
          </w:tcPr>
          <w:p>
            <w:pPr>
              <w:jc w:val="right"/>
            </w:pPr>
            <w:r>
              <w:rPr>
                <w:rFonts w:ascii="宋体" w:eastAsia="宋体" w:hAnsi="宋体" w:cs="宋体"/>
                <w:b w:val="0"/>
                <w:i w:val="0"/>
                <w:color w:val="000000"/>
                <w:sz w:val="18"/>
              </w:rPr>
              <w:t xml:space="preserve">5,651.85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1,005.72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1,005.72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1,005.72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1,005.72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67.84</w:t>
            </w:r>
          </w:p>
        </w:tc>
        <w:tc>
          <w:tcPr>
            <w:tcW w:w="1780" w:type="dxa"/>
            <w:tcBorders/>
            <w:vAlign w:val="center"/>
          </w:tcPr>
          <w:p>
            <w:pPr>
              <w:jc w:val="right"/>
            </w:pPr>
            <w:r>
              <w:rPr>
                <w:rFonts w:ascii="宋体" w:eastAsia="宋体" w:hAnsi="宋体" w:cs="宋体"/>
                <w:b w:val="0"/>
                <w:i w:val="0"/>
                <w:color w:val="000000"/>
                <w:sz w:val="18"/>
              </w:rPr>
              <w:t xml:space="preserve">67.84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67.84</w:t>
            </w:r>
          </w:p>
        </w:tc>
        <w:tc>
          <w:tcPr>
            <w:tcW w:w="1780" w:type="dxa"/>
            <w:tcBorders/>
            <w:vAlign w:val="center"/>
          </w:tcPr>
          <w:p>
            <w:pPr>
              <w:jc w:val="right"/>
            </w:pPr>
            <w:r>
              <w:rPr>
                <w:rFonts w:ascii="宋体" w:eastAsia="宋体" w:hAnsi="宋体" w:cs="宋体"/>
                <w:b w:val="0"/>
                <w:i w:val="0"/>
                <w:color w:val="000000"/>
                <w:sz w:val="18"/>
              </w:rPr>
              <w:t xml:space="preserve">67.84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67.84</w:t>
            </w:r>
          </w:p>
        </w:tc>
        <w:tc>
          <w:tcPr>
            <w:tcW w:w="1780" w:type="dxa"/>
            <w:tcBorders/>
            <w:vAlign w:val="center"/>
          </w:tcPr>
          <w:p>
            <w:pPr>
              <w:jc w:val="right"/>
            </w:pPr>
            <w:r>
              <w:rPr>
                <w:rFonts w:ascii="宋体" w:eastAsia="宋体" w:hAnsi="宋体" w:cs="宋体"/>
                <w:b w:val="0"/>
                <w:i w:val="0"/>
                <w:color w:val="000000"/>
                <w:sz w:val="18"/>
              </w:rPr>
              <w:t xml:space="preserve">67.84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613.14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31.86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182.33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6.86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8.62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14.44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13.25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221.57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0.13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64.12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14.09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21.06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25.49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1.40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0.43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67.84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3.59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3.59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3.46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616.73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31.99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55,740.44</w:t>
            </w:r>
          </w:p>
        </w:tc>
        <w:tc>
          <w:tcPr>
            <w:tcW w:w="1040" w:type="dxa"/>
            <w:tcBorders/>
            <w:vAlign w:val="center"/>
          </w:tcPr>
          <w:p>
            <w:pPr>
              <w:jc w:val="right"/>
            </w:pPr>
            <w:r>
              <w:rPr>
                <w:rFonts w:ascii="宋体" w:eastAsia="宋体" w:hAnsi="宋体" w:cs="宋体"/>
                <w:b/>
                <w:i w:val="0"/>
                <w:color w:val="000000"/>
                <w:sz w:val="15"/>
              </w:rPr>
              <w:t xml:space="preserve">55,740.44</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55,740.44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1,740.44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22904</w:t>
            </w:r>
          </w:p>
        </w:tc>
        <w:tc>
          <w:tcPr>
            <w:tcW w:w="3540" w:type="dxa"/>
            <w:tcBorders/>
            <w:vAlign w:val="center"/>
          </w:tcPr>
          <w:p>
            <w:pPr>
              <w:jc w:val="left"/>
            </w:pPr>
            <w:r>
              <w:rPr>
                <w:rFonts w:ascii="宋体" w:eastAsia="宋体" w:hAnsi="宋体" w:cs="宋体"/>
                <w:b w:val="0"/>
                <w:i w:val="0"/>
                <w:color w:val="000000"/>
                <w:sz w:val="15"/>
              </w:rPr>
              <w:t xml:space="preserve">其他政府性基金及对应专项债务收入安排的支出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2290402</w:t>
            </w:r>
          </w:p>
        </w:tc>
        <w:tc>
          <w:tcPr>
            <w:tcW w:w="3540" w:type="dxa"/>
            <w:tcBorders/>
            <w:vAlign w:val="center"/>
          </w:tcPr>
          <w:p>
            <w:pPr>
              <w:jc w:val="left"/>
            </w:pPr>
            <w:r>
              <w:rPr>
                <w:rFonts w:ascii="宋体" w:eastAsia="宋体" w:hAnsi="宋体" w:cs="宋体"/>
                <w:b w:val="0"/>
                <w:i w:val="0"/>
                <w:color w:val="000000"/>
                <w:sz w:val="15"/>
              </w:rPr>
              <w:t xml:space="preserve">其他地方自行试点项目收益专项债券收入安排的支出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54,000.00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单位：辽宁省沈阳市浑南区城市更新事务服务中心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069002沈阳市浑南区城市更新事务服务中心-210112000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722.69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722.69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476.80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按时、按制度、最大限度完成目标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按时完成目标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完工验收通过率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规章制度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还天山墓园借款1000万元。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解决历史遗留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农村环境整治中保洁人员数量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评估报告数量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评估检查小组人员到位率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样本企业信息员满意度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雇员24中心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中心现有雇员21人，所涉及项目主要有五项：一、办公费：3754元/人/年*21人=78834元二、伙食补助费：5400元/人/年*21人=113400.元（450元/人/月）三、取暖费：26元/m2*60m2*21人=32760元四、工会经费：1292元*21人=27132元五、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了持续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17.18644319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残疾人社会保障金1710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发放奖补资金单位数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有效推进项目实现预期效益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派遣24中心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根据高新人力资源公司签定的劳务合同；浑南区2024年部门预算基本支出编制依据；保障征收工作顺利有效持续进行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17.10712542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799.23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632.03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城镇老旧小区改造小区数量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重大项目立项数量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项目质量完成达标率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按照计划质量水准完成相应课题任务率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提高财政资金效益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有效推进项目实现预期效益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8.90795129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土地开发支出耕地占用税费用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2194.75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2193.12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障其他土地费用缴纳工作顺利完成，依据2020年其他土地费用金额作为本年度目标。2020年度共缴纳其他土地费用共计1.06亿元通过运用税收手段，加强对土地的管理，对限制乱占滥用耕地，保护有限的耕地资源，增加农业投入，促进农业的综合开发，起到了积极作用。税收从国家经济中来，并能反哺国家经济；社会经济蓬勃发展，国家才会有稳定的税收，而国家收取的税收又能投入到社会经济的发展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项目质量完成达标率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带动村集体经济收入同比增长率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有效推进监管项目实现预期效益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项目建成后的节能减排效益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林农对生态效益补偿资金的满意度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土地开发支出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35289.95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4512.02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白塔工业园项目土地整理支出及相关费用。为保障白塔工业园项目的顺利进行，2023年分两次支付土地整理支出第一次：2023年2月末之前支付土地开发整理支出15000万元。第二次：2023年8月底之前支会土地开发整理支出15000万元。另：2023年每季度末支付土地开发整理支出的相关费用小计2980万元。上述支出合计：32980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土地托管规范化示范主体数量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土地整治和占补平衡监管系统备案信息准确率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32.27855672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沈阳市浑南区城市更新事务服务中心-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信访维稳支出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培训批次、期数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培训转化率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