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辽宁省沈阳市浑南区财政局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辽宁省沈阳市浑南区财政局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辽宁省沈阳市浑南区财政局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辽宁省沈阳市浑南区财政局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辽宁省沈阳市浑南区财政局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辽宁省沈阳市浑南区财政局概况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（一）贯彻执行国家财税方针、政策和法律、法规及省、市有关要求，拟订全区财税规划、政策和改革方案并组织实施，提 出运用财税政策实施宏观调控和综合平衡社会财力的建议，完善促进社会经济发展的财税政策。 </w:t>
        <w:br/>
        <w:t xml:space="preserve">    （二）贯彻执行国家有关国有资产管理的政策、法律、法规和规章制度及省、市有关要求，研究制定本区行政事业单位国有资产管理的实施细则和规范文件，并组织实施，对行政事业单位国有资产进行监督管理。负责审核和汇总编制全区国有资本经营预决算草案，制定国有资本经营预算的制度和办法，监缴区本级企业国有资本收益，贯彻国家企业财务管理法规和制度及省、市有关要求。负责区本级行政事业单位因公出国（境）经费管理。</w:t>
        <w:br/>
        <w:t xml:space="preserve">    （三）制定全区财政发展计划，以及预算、税收、基本建设财务等有关制度；编制年度全区预算草案并组织执行；受区政府委托，向区人民代表大会报告全区年度财政预算及其执行情况，向区人大常委会报告财政决算；负责全区各项财政收支管理工作；管理区级各项财政收入，管理区级预算外资金和财政专户；管理有关政府性基金。</w:t>
        <w:br/>
        <w:t xml:space="preserve">    （四）负责全区政府非税收入管理，按规定管理行政事业性收费、政府性基金及其他非税收入；负责全区财政票据管理工作。</w:t>
        <w:br/>
        <w:t xml:space="preserve">    （五）组织制定全区财政国库管理制度，按规定管理国库及各财政专户资金。 </w:t>
        <w:br/>
        <w:t xml:space="preserve">    （六）负责办理和监管政府性投资项目财政拨款，制定基本建设财务制度，负责有关政策性补贴管理工作。 </w:t>
        <w:br/>
        <w:t xml:space="preserve">    （七）贯彻执行国家关于政府性债务管理的相关制度、政策及省、市有关要求；管理全区政府性债务，制定相关管理制度和办法；对全区政府性债务进行统计、汇总、分析，防范债务风险。 </w:t>
        <w:br/>
        <w:t xml:space="preserve">    （八）负责制定全区政府采购制度，监督管理采购活动，监督和规范会计行为，组织实施会计人员培训。</w:t>
        <w:br/>
        <w:t xml:space="preserve">    （九）根据应急管理工作需要，落实区本级应急管理专项资金预算安排，支持政府安全生产监管体系建设，监督区本级应急管理专项资金的使用。 </w:t>
        <w:br/>
        <w:t xml:space="preserve">    （十）负责街道财政管理工作，监管街道财政性资金内部核算及使用管理、资产管理、债务管理等工作。 </w:t>
        <w:br/>
        <w:t xml:space="preserve">    （十一）推动建立完善的金融服务体系，协调指导全区地方法人金融机构加快发展及深化改革工作；贯彻落实我区多层次资本市场建设的相关政策、规划和措施，贯彻落实推进企业上市的政策措施；贯彻落实我区互联网金融行业规范发展政策措施，统筹政府性融资项目和投融资行为的监督、管理、指导等工作；负责区域内金融机构的扶持、管理、协调和服务工作；支持我区经济社会发展建设；按规定管理政策性金融业务，承担金融方面财政补贴资金管理工作；承担与上级金融管理部门、各类金融机构的沟通协调、信息交流和服务等工作。 </w:t>
        <w:br/>
        <w:t xml:space="preserve">    （十二）规范区人才专项资金的管理和使用。负责配合区委组织部研究制定区人才专项资金使用、审批流程，做好经费保障工作。</w:t>
        <w:br/>
        <w:t xml:space="preserve">    （十三）积极落实区政府对安全生产工作的安排，认真履行财政部门的工作职责；健全安全生产监管执法经费保障机制，将安全生产监管执法的人员经费和专项资金纳入同级财政保障围，并保证其专款专用；承担区安委会交办的其他安全生产工作任务。 </w:t>
        <w:br/>
        <w:t xml:space="preserve">    （十四）加强环境保护、党组织建设工作职责。 </w:t>
        <w:br/>
        <w:t xml:space="preserve">    （十五）本部门权责清单和政务服务事项清单在区政府门户网站上公布。 </w:t>
        <w:br/>
        <w:t xml:space="preserve">    （十六）完成区委、区政府交办的其他任务。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辽宁省沈阳市浑南区财政局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1.浑南区财政局本级</w:t>
        <w:br/>
        <w:t xml:space="preserve">    2.浑南区财政事务服务中心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1181.23</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1181.23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1181.23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增加1181.23万元，增长0.00%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本年度开始汇总财政局本级和财政事务服务中心两个单位，上年没有该总计收入</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1181.23</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941.39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79.70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工资福利支出866.21万元；商品和服务支出61.47万元；对个人和家庭的补助13.71万元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239.84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20.30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主要包括办公费设备更新、软件服务费、票据费、财政业务印刷费、雇员经费、外聘劳务经费、资产运营费、地方政府债券咨询服务费、政府债务系统现场技术支持服务，购买中介机构服务费等业务支出。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增加1181.23万元，增长0.00%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一般公共预算财政拨款支出增加，人员增加等</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1181.23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941.39</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239.84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增加1181.23万元，增长0.00%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本年度开始汇总财政局本级和财政事务服务中心两个单位，上年没有该总计财政拨款支出</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52.32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90.16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19.76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2024年度一般公共预算财政拨款支出1181.23万元。按支出功能分类科目分，包括：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1.一般公共服务支出897.84万元，具体包括：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财政事务（款）行政运行（项）289.02万元,主要是工资福利支出等支出，完成年初预算的87.15%，决算数与年初预算数存在差异的主要原因是坚决贯彻党中央、国务院“过紧日子”要求，对部分项目进行规范清理，严格管控资金，节约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财政事务（款）一般行政管理事务（项）195.29万元,主要是办公设备更新、软件服务费、法律咨询费、财政业务印刷费等支出，完成年初预算的58.23%，决算数与年初预算数存在差异的主要原因是我单位厉行节约，通过多项内部管理优化措施，包括挖掘软件潜能、强化内部法审及推行无纸化办公，严控非刚性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财政事务（款）事业运行（项）388.98万元,主要是工资福利支出等支出，完成年初预算的88.32%，决算数与年初预算数存在差异的主要原因是坚决贯彻党中央、国务院“过紧日子”要求，对部分项目进行规范清理，严格管控资金，节约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财政事务（款）其他财政事务支出（项）24.55万元,主要是办公费、劳务费等支出，完成年初预算的35.86%，决算数与年初预算数存在差异的主要原因是严控行政运行成本，使我单位在其他财政事务支出上更加集约高效。</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2.社会保障和就业支出137.27万元，具体包括：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4.69万元,主要是退休费等支出，完成年初预算的86.56%，决算数与年初预算数存在差异的主要原因是前期预估预算数高于实际支出数，防止出现人员经费不足以发放的情况。</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3.64万元,主要是退休费等支出，完成年初预算的73.98%，决算数与年初预算数存在差异的主要原因是前期预估预算数高于实际支出数，防止出现人员经费不足以发放的情况。</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85.71万元,主要是机关事业单位基本养老保险缴费等支出，完成年初预算的100.61%，决算数与年初预算数存在差异的主要原因是养老保险基数按年度进行调整，并且有新入职人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39.11万元,主要是职业年金缴费等支出，完成年初预算的100%，决算数与年初预算数存在差异的主要原因是本项预算为追加预算，无年初预算，决算数为本年实际发生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伤残抚恤（项）4.12万元,主要是抚恤金等支出，完成年初预算的100.49%，决算数与年初预算数存在差异的主要原因是每年度伤残抚恤金新标准在11月出台，决算当中的伤残抚恤金按新标准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3.卫生健康支出33.94万元，具体包括：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（1）卫生健康支出（类）行政事业单位医疗（款）行政单位医疗（项）13.94万元,主要是职工基本医疗保险缴费等支出，完成年初预算的97.14%，决算数与年初预算数存在差异的主要原因是医疗保险基数调整。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（2）卫生健康支出（类）行政事业单位医疗（款）事业单位医疗（项）20.00万元,主要是职工基本医疗保险缴费等支出，完成年初预算的101.88%，决算数与年初预算数存在差异的主要原因是医疗保险基数调整。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4.城乡社区支出20.00万元，具体包括：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公共设施（款）其他城乡社区公共设施支出（项）20.00万元,主要是委托业务费等支出，完成年初预算的2.48%，决算数与年初预算数存在差异的主要原因是根据城乡社区发展实际需求对于支出结构进行优化调整，减少了非必要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5.住房保障支出92.19万元，具体包括：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（1）住房保障支出（类）住房改革支出（款）住房公积金（项）92.19万元,主要是住房公积金等支出，完成年初预算的65.38%，决算数与年初预算数存在差异的主要原因是暂时未缴纳高比例部分。</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无“三公”经费预算，未发生“三公”经费支出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无因公出国（境）费预算，未发生因公出国（境）费支出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本年与上年均未发生因公出国（境）费支出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无公务接待费预算，未发生公务接待费支出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本年与上年均未发生公务接待费支出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无公务用车购置及运行费预算，未发生公务用车购置及运行费支出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本年与上年均未发生公务用车购置及运行费支出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941.39</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879.92</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61.47</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36.03</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比上年增加36.03万元，增长0.00%</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为保证机关各项业务能够正常开展，产生了合理支出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具体而言，本年度我部门共组织对24个项目实施了绩效评价。从预算资金来源看，涉及一般公共预算的项目24个，涉及政府性基金预算的项目0个，涉及国有资本经营预算的项目0个。</w:t>
        <w:br/>
        <w:t xml:space="preserve">    上述评价工作共涉及财政资金1044.18万元。其中，一般公共预算资金1044.18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8个；得分在80分（含）至90分、等级为“良”的项目有1个；得分在60分（含）至80分、等级为“中”的项目有7；得分在60分以下、等级为“差”的项目有8个。各项目自评发现，部分项目存在预算执行率偏低、部分产出指标未按计划完成、项目成果可持续性有待加强、过程管理不够规范、绩效目标实现程度不足、项目资料归档不及时等问题，如：个别项目资金支付进度明显滞后、核心产品交付数量未达预期、项目效益未能充分延续。已要求相关项目单位分析原因并制定改进措施，部分实施环节记录不完整、个别效益指标实际完成值与目标值存在差距、阶段性验收材料整理滞后。已要求相关项目单位分析原因并制定改进措施。</w:t>
        <w:br/>
        <w:t xml:space="preserve">    3.部门重点评价情况及结果。</w:t>
        <w:br/>
        <w:t xml:space="preserve">    本单位无部门重点评价项目。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部门：辽宁省沈阳市浑南区财政局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1,181.23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897.84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137.27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33.93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20.00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92.19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1,181.23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1,181.23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1,181.23</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1,181.23</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部门：辽宁省沈阳市浑南区财政局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1,181.23</w:t>
            </w:r>
          </w:p>
        </w:tc>
        <w:tc>
          <w:tcPr>
            <w:tcW w:w="960" w:type="dxa"/>
            <w:tcBorders/>
            <w:vAlign w:val="center"/>
          </w:tcPr>
          <w:p>
            <w:pPr>
              <w:jc w:val="right"/>
            </w:pPr>
            <w:r>
              <w:rPr>
                <w:rFonts w:ascii="宋体" w:eastAsia="宋体" w:hAnsi="宋体" w:cs="宋体"/>
                <w:b/>
                <w:i w:val="0"/>
                <w:color w:val="000000"/>
                <w:sz w:val="13"/>
              </w:rPr>
              <w:t xml:space="preserve">1,181.23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897.84</w:t>
            </w:r>
          </w:p>
        </w:tc>
        <w:tc>
          <w:tcPr>
            <w:tcW w:w="960" w:type="dxa"/>
            <w:tcBorders/>
            <w:vAlign w:val="center"/>
          </w:tcPr>
          <w:p>
            <w:pPr>
              <w:jc w:val="right"/>
            </w:pPr>
            <w:r>
              <w:rPr>
                <w:rFonts w:ascii="宋体" w:eastAsia="宋体" w:hAnsi="宋体" w:cs="宋体"/>
                <w:b w:val="0"/>
                <w:i w:val="0"/>
                <w:color w:val="000000"/>
                <w:sz w:val="13"/>
              </w:rPr>
              <w:t xml:space="preserve">897.84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w:t>
            </w:r>
          </w:p>
        </w:tc>
        <w:tc>
          <w:tcPr>
            <w:tcW w:w="3200" w:type="dxa"/>
            <w:tcBorders/>
            <w:vAlign w:val="center"/>
          </w:tcPr>
          <w:p>
            <w:pPr>
              <w:jc w:val="left"/>
            </w:pPr>
            <w:r>
              <w:rPr>
                <w:rFonts w:ascii="宋体" w:eastAsia="宋体" w:hAnsi="宋体" w:cs="宋体"/>
                <w:b w:val="0"/>
                <w:i w:val="0"/>
                <w:color w:val="000000"/>
                <w:sz w:val="13"/>
              </w:rPr>
              <w:t xml:space="preserve">财政事务</w:t>
            </w:r>
          </w:p>
        </w:tc>
        <w:tc>
          <w:tcPr>
            <w:tcW w:w="960" w:type="dxa"/>
            <w:tcBorders/>
            <w:vAlign w:val="center"/>
          </w:tcPr>
          <w:p>
            <w:pPr>
              <w:jc w:val="right"/>
            </w:pPr>
            <w:r>
              <w:rPr>
                <w:rFonts w:ascii="宋体" w:eastAsia="宋体" w:hAnsi="宋体" w:cs="宋体"/>
                <w:b w:val="0"/>
                <w:i w:val="0"/>
                <w:color w:val="000000"/>
                <w:sz w:val="13"/>
              </w:rPr>
              <w:t xml:space="preserve">897.84</w:t>
            </w:r>
          </w:p>
        </w:tc>
        <w:tc>
          <w:tcPr>
            <w:tcW w:w="960" w:type="dxa"/>
            <w:tcBorders/>
            <w:vAlign w:val="center"/>
          </w:tcPr>
          <w:p>
            <w:pPr>
              <w:jc w:val="right"/>
            </w:pPr>
            <w:r>
              <w:rPr>
                <w:rFonts w:ascii="宋体" w:eastAsia="宋体" w:hAnsi="宋体" w:cs="宋体"/>
                <w:b w:val="0"/>
                <w:i w:val="0"/>
                <w:color w:val="000000"/>
                <w:sz w:val="13"/>
              </w:rPr>
              <w:t xml:space="preserve">897.84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289.02</w:t>
            </w:r>
          </w:p>
        </w:tc>
        <w:tc>
          <w:tcPr>
            <w:tcW w:w="960" w:type="dxa"/>
            <w:tcBorders/>
            <w:vAlign w:val="center"/>
          </w:tcPr>
          <w:p>
            <w:pPr>
              <w:jc w:val="right"/>
            </w:pPr>
            <w:r>
              <w:rPr>
                <w:rFonts w:ascii="宋体" w:eastAsia="宋体" w:hAnsi="宋体" w:cs="宋体"/>
                <w:b w:val="0"/>
                <w:i w:val="0"/>
                <w:color w:val="000000"/>
                <w:sz w:val="13"/>
              </w:rPr>
              <w:t xml:space="preserve">289.02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195.29</w:t>
            </w:r>
          </w:p>
        </w:tc>
        <w:tc>
          <w:tcPr>
            <w:tcW w:w="960" w:type="dxa"/>
            <w:tcBorders/>
            <w:vAlign w:val="center"/>
          </w:tcPr>
          <w:p>
            <w:pPr>
              <w:jc w:val="right"/>
            </w:pPr>
            <w:r>
              <w:rPr>
                <w:rFonts w:ascii="宋体" w:eastAsia="宋体" w:hAnsi="宋体" w:cs="宋体"/>
                <w:b w:val="0"/>
                <w:i w:val="0"/>
                <w:color w:val="000000"/>
                <w:sz w:val="13"/>
              </w:rPr>
              <w:t xml:space="preserve">195.29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388.98</w:t>
            </w:r>
          </w:p>
        </w:tc>
        <w:tc>
          <w:tcPr>
            <w:tcW w:w="960" w:type="dxa"/>
            <w:tcBorders/>
            <w:vAlign w:val="center"/>
          </w:tcPr>
          <w:p>
            <w:pPr>
              <w:jc w:val="right"/>
            </w:pPr>
            <w:r>
              <w:rPr>
                <w:rFonts w:ascii="宋体" w:eastAsia="宋体" w:hAnsi="宋体" w:cs="宋体"/>
                <w:b w:val="0"/>
                <w:i w:val="0"/>
                <w:color w:val="000000"/>
                <w:sz w:val="13"/>
              </w:rPr>
              <w:t xml:space="preserve">388.98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2010699</w:t>
            </w:r>
          </w:p>
        </w:tc>
        <w:tc>
          <w:tcPr>
            <w:tcW w:w="3200" w:type="dxa"/>
            <w:tcBorders/>
            <w:vAlign w:val="center"/>
          </w:tcPr>
          <w:p>
            <w:pPr>
              <w:jc w:val="left"/>
            </w:pPr>
            <w:r>
              <w:rPr>
                <w:rFonts w:ascii="宋体" w:eastAsia="宋体" w:hAnsi="宋体" w:cs="宋体"/>
                <w:b w:val="0"/>
                <w:i w:val="0"/>
                <w:color w:val="000000"/>
                <w:sz w:val="13"/>
              </w:rPr>
              <w:t xml:space="preserve">其他财政事务支出</w:t>
            </w:r>
          </w:p>
        </w:tc>
        <w:tc>
          <w:tcPr>
            <w:tcW w:w="960" w:type="dxa"/>
            <w:tcBorders/>
            <w:vAlign w:val="center"/>
          </w:tcPr>
          <w:p>
            <w:pPr>
              <w:jc w:val="right"/>
            </w:pPr>
            <w:r>
              <w:rPr>
                <w:rFonts w:ascii="宋体" w:eastAsia="宋体" w:hAnsi="宋体" w:cs="宋体"/>
                <w:b w:val="0"/>
                <w:i w:val="0"/>
                <w:color w:val="000000"/>
                <w:sz w:val="13"/>
              </w:rPr>
              <w:t xml:space="preserve">24.55</w:t>
            </w:r>
          </w:p>
        </w:tc>
        <w:tc>
          <w:tcPr>
            <w:tcW w:w="960" w:type="dxa"/>
            <w:tcBorders/>
            <w:vAlign w:val="center"/>
          </w:tcPr>
          <w:p>
            <w:pPr>
              <w:jc w:val="right"/>
            </w:pPr>
            <w:r>
              <w:rPr>
                <w:rFonts w:ascii="宋体" w:eastAsia="宋体" w:hAnsi="宋体" w:cs="宋体"/>
                <w:b w:val="0"/>
                <w:i w:val="0"/>
                <w:color w:val="000000"/>
                <w:sz w:val="13"/>
              </w:rPr>
              <w:t xml:space="preserve">24.55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137.27</w:t>
            </w:r>
          </w:p>
        </w:tc>
        <w:tc>
          <w:tcPr>
            <w:tcW w:w="960" w:type="dxa"/>
            <w:tcBorders/>
            <w:vAlign w:val="center"/>
          </w:tcPr>
          <w:p>
            <w:pPr>
              <w:jc w:val="right"/>
            </w:pPr>
            <w:r>
              <w:rPr>
                <w:rFonts w:ascii="宋体" w:eastAsia="宋体" w:hAnsi="宋体" w:cs="宋体"/>
                <w:b w:val="0"/>
                <w:i w:val="0"/>
                <w:color w:val="000000"/>
                <w:sz w:val="13"/>
              </w:rPr>
              <w:t xml:space="preserve">137.27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133.15</w:t>
            </w:r>
          </w:p>
        </w:tc>
        <w:tc>
          <w:tcPr>
            <w:tcW w:w="960" w:type="dxa"/>
            <w:tcBorders/>
            <w:vAlign w:val="center"/>
          </w:tcPr>
          <w:p>
            <w:pPr>
              <w:jc w:val="right"/>
            </w:pPr>
            <w:r>
              <w:rPr>
                <w:rFonts w:ascii="宋体" w:eastAsia="宋体" w:hAnsi="宋体" w:cs="宋体"/>
                <w:b w:val="0"/>
                <w:i w:val="0"/>
                <w:color w:val="000000"/>
                <w:sz w:val="13"/>
              </w:rPr>
              <w:t xml:space="preserve">133.15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4.69</w:t>
            </w:r>
          </w:p>
        </w:tc>
        <w:tc>
          <w:tcPr>
            <w:tcW w:w="960" w:type="dxa"/>
            <w:tcBorders/>
            <w:vAlign w:val="center"/>
          </w:tcPr>
          <w:p>
            <w:pPr>
              <w:jc w:val="right"/>
            </w:pPr>
            <w:r>
              <w:rPr>
                <w:rFonts w:ascii="宋体" w:eastAsia="宋体" w:hAnsi="宋体" w:cs="宋体"/>
                <w:b w:val="0"/>
                <w:i w:val="0"/>
                <w:color w:val="000000"/>
                <w:sz w:val="13"/>
              </w:rPr>
              <w:t xml:space="preserve">4.69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3.64</w:t>
            </w:r>
          </w:p>
        </w:tc>
        <w:tc>
          <w:tcPr>
            <w:tcW w:w="960" w:type="dxa"/>
            <w:tcBorders/>
            <w:vAlign w:val="center"/>
          </w:tcPr>
          <w:p>
            <w:pPr>
              <w:jc w:val="right"/>
            </w:pPr>
            <w:r>
              <w:rPr>
                <w:rFonts w:ascii="宋体" w:eastAsia="宋体" w:hAnsi="宋体" w:cs="宋体"/>
                <w:b w:val="0"/>
                <w:i w:val="0"/>
                <w:color w:val="000000"/>
                <w:sz w:val="13"/>
              </w:rPr>
              <w:t xml:space="preserve">3.64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85.71</w:t>
            </w:r>
          </w:p>
        </w:tc>
        <w:tc>
          <w:tcPr>
            <w:tcW w:w="960" w:type="dxa"/>
            <w:tcBorders/>
            <w:vAlign w:val="center"/>
          </w:tcPr>
          <w:p>
            <w:pPr>
              <w:jc w:val="right"/>
            </w:pPr>
            <w:r>
              <w:rPr>
                <w:rFonts w:ascii="宋体" w:eastAsia="宋体" w:hAnsi="宋体" w:cs="宋体"/>
                <w:b w:val="0"/>
                <w:i w:val="0"/>
                <w:color w:val="000000"/>
                <w:sz w:val="13"/>
              </w:rPr>
              <w:t xml:space="preserve">85.71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39.11</w:t>
            </w:r>
          </w:p>
        </w:tc>
        <w:tc>
          <w:tcPr>
            <w:tcW w:w="960" w:type="dxa"/>
            <w:tcBorders/>
            <w:vAlign w:val="center"/>
          </w:tcPr>
          <w:p>
            <w:pPr>
              <w:jc w:val="right"/>
            </w:pPr>
            <w:r>
              <w:rPr>
                <w:rFonts w:ascii="宋体" w:eastAsia="宋体" w:hAnsi="宋体" w:cs="宋体"/>
                <w:b w:val="0"/>
                <w:i w:val="0"/>
                <w:color w:val="000000"/>
                <w:sz w:val="13"/>
              </w:rPr>
              <w:t xml:space="preserve">39.11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4.12</w:t>
            </w:r>
          </w:p>
        </w:tc>
        <w:tc>
          <w:tcPr>
            <w:tcW w:w="960" w:type="dxa"/>
            <w:tcBorders/>
            <w:vAlign w:val="center"/>
          </w:tcPr>
          <w:p>
            <w:pPr>
              <w:jc w:val="right"/>
            </w:pPr>
            <w:r>
              <w:rPr>
                <w:rFonts w:ascii="宋体" w:eastAsia="宋体" w:hAnsi="宋体" w:cs="宋体"/>
                <w:b w:val="0"/>
                <w:i w:val="0"/>
                <w:color w:val="000000"/>
                <w:sz w:val="13"/>
              </w:rPr>
              <w:t xml:space="preserve">4.12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4.12</w:t>
            </w:r>
          </w:p>
        </w:tc>
        <w:tc>
          <w:tcPr>
            <w:tcW w:w="960" w:type="dxa"/>
            <w:tcBorders/>
            <w:vAlign w:val="center"/>
          </w:tcPr>
          <w:p>
            <w:pPr>
              <w:jc w:val="right"/>
            </w:pPr>
            <w:r>
              <w:rPr>
                <w:rFonts w:ascii="宋体" w:eastAsia="宋体" w:hAnsi="宋体" w:cs="宋体"/>
                <w:b w:val="0"/>
                <w:i w:val="0"/>
                <w:color w:val="000000"/>
                <w:sz w:val="13"/>
              </w:rPr>
              <w:t xml:space="preserve">4.12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33.94</w:t>
            </w:r>
          </w:p>
        </w:tc>
        <w:tc>
          <w:tcPr>
            <w:tcW w:w="960" w:type="dxa"/>
            <w:tcBorders/>
            <w:vAlign w:val="center"/>
          </w:tcPr>
          <w:p>
            <w:pPr>
              <w:jc w:val="right"/>
            </w:pPr>
            <w:r>
              <w:rPr>
                <w:rFonts w:ascii="宋体" w:eastAsia="宋体" w:hAnsi="宋体" w:cs="宋体"/>
                <w:b w:val="0"/>
                <w:i w:val="0"/>
                <w:color w:val="000000"/>
                <w:sz w:val="13"/>
              </w:rPr>
              <w:t xml:space="preserve">33.94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33.94</w:t>
            </w:r>
          </w:p>
        </w:tc>
        <w:tc>
          <w:tcPr>
            <w:tcW w:w="960" w:type="dxa"/>
            <w:tcBorders/>
            <w:vAlign w:val="center"/>
          </w:tcPr>
          <w:p>
            <w:pPr>
              <w:jc w:val="right"/>
            </w:pPr>
            <w:r>
              <w:rPr>
                <w:rFonts w:ascii="宋体" w:eastAsia="宋体" w:hAnsi="宋体" w:cs="宋体"/>
                <w:b w:val="0"/>
                <w:i w:val="0"/>
                <w:color w:val="000000"/>
                <w:sz w:val="13"/>
              </w:rPr>
              <w:t xml:space="preserve">33.94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13.94</w:t>
            </w:r>
          </w:p>
        </w:tc>
        <w:tc>
          <w:tcPr>
            <w:tcW w:w="960" w:type="dxa"/>
            <w:tcBorders/>
            <w:vAlign w:val="center"/>
          </w:tcPr>
          <w:p>
            <w:pPr>
              <w:jc w:val="right"/>
            </w:pPr>
            <w:r>
              <w:rPr>
                <w:rFonts w:ascii="宋体" w:eastAsia="宋体" w:hAnsi="宋体" w:cs="宋体"/>
                <w:b w:val="0"/>
                <w:i w:val="0"/>
                <w:color w:val="000000"/>
                <w:sz w:val="13"/>
              </w:rPr>
              <w:t xml:space="preserve">13.94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w:t>
            </w:r>
          </w:p>
        </w:tc>
        <w:tc>
          <w:tcPr>
            <w:tcW w:w="3200" w:type="dxa"/>
            <w:tcBorders/>
            <w:vAlign w:val="center"/>
          </w:tcPr>
          <w:p>
            <w:pPr>
              <w:jc w:val="left"/>
            </w:pPr>
            <w:r>
              <w:rPr>
                <w:rFonts w:ascii="宋体" w:eastAsia="宋体" w:hAnsi="宋体" w:cs="宋体"/>
                <w:b w:val="0"/>
                <w:i w:val="0"/>
                <w:color w:val="000000"/>
                <w:sz w:val="13"/>
              </w:rPr>
              <w:t xml:space="preserve">城乡社区公共设施</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2120399</w:t>
            </w:r>
          </w:p>
        </w:tc>
        <w:tc>
          <w:tcPr>
            <w:tcW w:w="3200" w:type="dxa"/>
            <w:tcBorders/>
            <w:vAlign w:val="center"/>
          </w:tcPr>
          <w:p>
            <w:pPr>
              <w:jc w:val="left"/>
            </w:pPr>
            <w:r>
              <w:rPr>
                <w:rFonts w:ascii="宋体" w:eastAsia="宋体" w:hAnsi="宋体" w:cs="宋体"/>
                <w:b w:val="0"/>
                <w:i w:val="0"/>
                <w:color w:val="000000"/>
                <w:sz w:val="13"/>
              </w:rPr>
              <w:t xml:space="preserve">其他城乡社区公共设施支出</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jc w:val="right"/>
            </w:pPr>
            <w:r>
              <w:rPr>
                <w:rFonts w:ascii="宋体" w:eastAsia="宋体" w:hAnsi="宋体" w:cs="宋体"/>
                <w:b w:val="0"/>
                <w:i w:val="0"/>
                <w:color w:val="000000"/>
                <w:sz w:val="13"/>
              </w:rPr>
              <w:t xml:space="preserve">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92.19</w:t>
            </w:r>
          </w:p>
        </w:tc>
        <w:tc>
          <w:tcPr>
            <w:tcW w:w="960" w:type="dxa"/>
            <w:tcBorders/>
            <w:vAlign w:val="center"/>
          </w:tcPr>
          <w:p>
            <w:pPr>
              <w:jc w:val="right"/>
            </w:pPr>
            <w:r>
              <w:rPr>
                <w:rFonts w:ascii="宋体" w:eastAsia="宋体" w:hAnsi="宋体" w:cs="宋体"/>
                <w:b w:val="0"/>
                <w:i w:val="0"/>
                <w:color w:val="000000"/>
                <w:sz w:val="13"/>
              </w:rPr>
              <w:t xml:space="preserve">92.19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92.19</w:t>
            </w:r>
          </w:p>
        </w:tc>
        <w:tc>
          <w:tcPr>
            <w:tcW w:w="960" w:type="dxa"/>
            <w:tcBorders/>
            <w:vAlign w:val="center"/>
          </w:tcPr>
          <w:p>
            <w:pPr>
              <w:jc w:val="right"/>
            </w:pPr>
            <w:r>
              <w:rPr>
                <w:rFonts w:ascii="宋体" w:eastAsia="宋体" w:hAnsi="宋体" w:cs="宋体"/>
                <w:b w:val="0"/>
                <w:i w:val="0"/>
                <w:color w:val="000000"/>
                <w:sz w:val="13"/>
              </w:rPr>
              <w:t xml:space="preserve">92.19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92.19</w:t>
            </w:r>
          </w:p>
        </w:tc>
        <w:tc>
          <w:tcPr>
            <w:tcW w:w="960" w:type="dxa"/>
            <w:tcBorders/>
            <w:vAlign w:val="center"/>
          </w:tcPr>
          <w:p>
            <w:pPr>
              <w:jc w:val="right"/>
            </w:pPr>
            <w:r>
              <w:rPr>
                <w:rFonts w:ascii="宋体" w:eastAsia="宋体" w:hAnsi="宋体" w:cs="宋体"/>
                <w:b w:val="0"/>
                <w:i w:val="0"/>
                <w:color w:val="000000"/>
                <w:sz w:val="13"/>
              </w:rPr>
              <w:t xml:space="preserve">92.19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部门：辽宁省沈阳市浑南区财政局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1,181.23</w:t>
            </w:r>
          </w:p>
        </w:tc>
        <w:tc>
          <w:tcPr>
            <w:tcW w:w="1060" w:type="dxa"/>
            <w:tcBorders/>
            <w:vAlign w:val="center"/>
          </w:tcPr>
          <w:p>
            <w:pPr>
              <w:jc w:val="right"/>
            </w:pPr>
            <w:r>
              <w:rPr>
                <w:rFonts w:ascii="宋体" w:eastAsia="宋体" w:hAnsi="宋体" w:cs="宋体"/>
                <w:b/>
                <w:i w:val="0"/>
                <w:color w:val="000000"/>
                <w:sz w:val="14"/>
              </w:rPr>
              <w:t xml:space="preserve">941.39</w:t>
            </w:r>
          </w:p>
        </w:tc>
        <w:tc>
          <w:tcPr>
            <w:tcW w:w="1060" w:type="dxa"/>
            <w:tcBorders/>
            <w:vAlign w:val="center"/>
          </w:tcPr>
          <w:p>
            <w:pPr>
              <w:jc w:val="right"/>
            </w:pPr>
            <w:r>
              <w:rPr>
                <w:rFonts w:ascii="宋体" w:eastAsia="宋体" w:hAnsi="宋体" w:cs="宋体"/>
                <w:b/>
                <w:i w:val="0"/>
                <w:color w:val="000000"/>
                <w:sz w:val="14"/>
              </w:rPr>
              <w:t xml:space="preserve">239.84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897.84</w:t>
            </w:r>
          </w:p>
        </w:tc>
        <w:tc>
          <w:tcPr>
            <w:tcW w:w="1060" w:type="dxa"/>
            <w:tcBorders/>
            <w:vAlign w:val="center"/>
          </w:tcPr>
          <w:p>
            <w:pPr>
              <w:jc w:val="right"/>
            </w:pPr>
            <w:r>
              <w:rPr>
                <w:rFonts w:ascii="宋体" w:eastAsia="宋体" w:hAnsi="宋体" w:cs="宋体"/>
                <w:b w:val="0"/>
                <w:i w:val="0"/>
                <w:color w:val="000000"/>
                <w:sz w:val="14"/>
              </w:rPr>
              <w:t xml:space="preserve">678.00</w:t>
            </w:r>
          </w:p>
        </w:tc>
        <w:tc>
          <w:tcPr>
            <w:tcW w:w="1060" w:type="dxa"/>
            <w:tcBorders/>
            <w:vAlign w:val="center"/>
          </w:tcPr>
          <w:p>
            <w:pPr>
              <w:jc w:val="right"/>
            </w:pPr>
            <w:r>
              <w:rPr>
                <w:rFonts w:ascii="宋体" w:eastAsia="宋体" w:hAnsi="宋体" w:cs="宋体"/>
                <w:b w:val="0"/>
                <w:i w:val="0"/>
                <w:color w:val="000000"/>
                <w:sz w:val="14"/>
              </w:rPr>
              <w:t xml:space="preserve">219.84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w:t>
            </w:r>
          </w:p>
        </w:tc>
        <w:tc>
          <w:tcPr>
            <w:tcW w:w="3440" w:type="dxa"/>
            <w:tcBorders/>
            <w:vAlign w:val="center"/>
          </w:tcPr>
          <w:p>
            <w:pPr>
              <w:jc w:val="left"/>
            </w:pPr>
            <w:r>
              <w:rPr>
                <w:rFonts w:ascii="宋体" w:eastAsia="宋体" w:hAnsi="宋体" w:cs="宋体"/>
                <w:b w:val="0"/>
                <w:i w:val="0"/>
                <w:color w:val="000000"/>
                <w:sz w:val="14"/>
              </w:rPr>
              <w:t xml:space="preserve">财政事务</w:t>
            </w:r>
          </w:p>
        </w:tc>
        <w:tc>
          <w:tcPr>
            <w:tcW w:w="1060" w:type="dxa"/>
            <w:tcBorders/>
            <w:vAlign w:val="center"/>
          </w:tcPr>
          <w:p>
            <w:pPr>
              <w:jc w:val="right"/>
            </w:pPr>
            <w:r>
              <w:rPr>
                <w:rFonts w:ascii="宋体" w:eastAsia="宋体" w:hAnsi="宋体" w:cs="宋体"/>
                <w:b w:val="0"/>
                <w:i w:val="0"/>
                <w:color w:val="000000"/>
                <w:sz w:val="14"/>
              </w:rPr>
              <w:t xml:space="preserve">897.84</w:t>
            </w:r>
          </w:p>
        </w:tc>
        <w:tc>
          <w:tcPr>
            <w:tcW w:w="1060" w:type="dxa"/>
            <w:tcBorders/>
            <w:vAlign w:val="center"/>
          </w:tcPr>
          <w:p>
            <w:pPr>
              <w:jc w:val="right"/>
            </w:pPr>
            <w:r>
              <w:rPr>
                <w:rFonts w:ascii="宋体" w:eastAsia="宋体" w:hAnsi="宋体" w:cs="宋体"/>
                <w:b w:val="0"/>
                <w:i w:val="0"/>
                <w:color w:val="000000"/>
                <w:sz w:val="14"/>
              </w:rPr>
              <w:t xml:space="preserve">678.00</w:t>
            </w:r>
          </w:p>
        </w:tc>
        <w:tc>
          <w:tcPr>
            <w:tcW w:w="1060" w:type="dxa"/>
            <w:tcBorders/>
            <w:vAlign w:val="center"/>
          </w:tcPr>
          <w:p>
            <w:pPr>
              <w:jc w:val="right"/>
            </w:pPr>
            <w:r>
              <w:rPr>
                <w:rFonts w:ascii="宋体" w:eastAsia="宋体" w:hAnsi="宋体" w:cs="宋体"/>
                <w:b w:val="0"/>
                <w:i w:val="0"/>
                <w:color w:val="000000"/>
                <w:sz w:val="14"/>
              </w:rPr>
              <w:t xml:space="preserve">219.84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289.02</w:t>
            </w:r>
          </w:p>
        </w:tc>
        <w:tc>
          <w:tcPr>
            <w:tcW w:w="1060" w:type="dxa"/>
            <w:tcBorders/>
            <w:vAlign w:val="center"/>
          </w:tcPr>
          <w:p>
            <w:pPr>
              <w:jc w:val="right"/>
            </w:pPr>
            <w:r>
              <w:rPr>
                <w:rFonts w:ascii="宋体" w:eastAsia="宋体" w:hAnsi="宋体" w:cs="宋体"/>
                <w:b w:val="0"/>
                <w:i w:val="0"/>
                <w:color w:val="000000"/>
                <w:sz w:val="14"/>
              </w:rPr>
              <w:t xml:space="preserve">289.02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195.29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195.29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388.98</w:t>
            </w:r>
          </w:p>
        </w:tc>
        <w:tc>
          <w:tcPr>
            <w:tcW w:w="1060" w:type="dxa"/>
            <w:tcBorders/>
            <w:vAlign w:val="center"/>
          </w:tcPr>
          <w:p>
            <w:pPr>
              <w:jc w:val="right"/>
            </w:pPr>
            <w:r>
              <w:rPr>
                <w:rFonts w:ascii="宋体" w:eastAsia="宋体" w:hAnsi="宋体" w:cs="宋体"/>
                <w:b w:val="0"/>
                <w:i w:val="0"/>
                <w:color w:val="000000"/>
                <w:sz w:val="14"/>
              </w:rPr>
              <w:t xml:space="preserve">388.98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2010699</w:t>
            </w:r>
          </w:p>
        </w:tc>
        <w:tc>
          <w:tcPr>
            <w:tcW w:w="3440" w:type="dxa"/>
            <w:tcBorders/>
            <w:vAlign w:val="center"/>
          </w:tcPr>
          <w:p>
            <w:pPr>
              <w:jc w:val="left"/>
            </w:pPr>
            <w:r>
              <w:rPr>
                <w:rFonts w:ascii="宋体" w:eastAsia="宋体" w:hAnsi="宋体" w:cs="宋体"/>
                <w:b w:val="0"/>
                <w:i w:val="0"/>
                <w:color w:val="000000"/>
                <w:sz w:val="14"/>
              </w:rPr>
              <w:t xml:space="preserve">其他财政事务支出</w:t>
            </w:r>
          </w:p>
        </w:tc>
        <w:tc>
          <w:tcPr>
            <w:tcW w:w="1060" w:type="dxa"/>
            <w:tcBorders/>
            <w:vAlign w:val="center"/>
          </w:tcPr>
          <w:p>
            <w:pPr>
              <w:jc w:val="right"/>
            </w:pPr>
            <w:r>
              <w:rPr>
                <w:rFonts w:ascii="宋体" w:eastAsia="宋体" w:hAnsi="宋体" w:cs="宋体"/>
                <w:b w:val="0"/>
                <w:i w:val="0"/>
                <w:color w:val="000000"/>
                <w:sz w:val="14"/>
              </w:rPr>
              <w:t xml:space="preserve">24.55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137.27</w:t>
            </w:r>
          </w:p>
        </w:tc>
        <w:tc>
          <w:tcPr>
            <w:tcW w:w="1060" w:type="dxa"/>
            <w:tcBorders/>
            <w:vAlign w:val="center"/>
          </w:tcPr>
          <w:p>
            <w:pPr>
              <w:jc w:val="right"/>
            </w:pPr>
            <w:r>
              <w:rPr>
                <w:rFonts w:ascii="宋体" w:eastAsia="宋体" w:hAnsi="宋体" w:cs="宋体"/>
                <w:b w:val="0"/>
                <w:i w:val="0"/>
                <w:color w:val="000000"/>
                <w:sz w:val="14"/>
              </w:rPr>
              <w:t xml:space="preserve">137.27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133.15</w:t>
            </w:r>
          </w:p>
        </w:tc>
        <w:tc>
          <w:tcPr>
            <w:tcW w:w="1060" w:type="dxa"/>
            <w:tcBorders/>
            <w:vAlign w:val="center"/>
          </w:tcPr>
          <w:p>
            <w:pPr>
              <w:jc w:val="right"/>
            </w:pPr>
            <w:r>
              <w:rPr>
                <w:rFonts w:ascii="宋体" w:eastAsia="宋体" w:hAnsi="宋体" w:cs="宋体"/>
                <w:b w:val="0"/>
                <w:i w:val="0"/>
                <w:color w:val="000000"/>
                <w:sz w:val="14"/>
              </w:rPr>
              <w:t xml:space="preserve">133.15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4.69</w:t>
            </w:r>
          </w:p>
        </w:tc>
        <w:tc>
          <w:tcPr>
            <w:tcW w:w="1060" w:type="dxa"/>
            <w:tcBorders/>
            <w:vAlign w:val="center"/>
          </w:tcPr>
          <w:p>
            <w:pPr>
              <w:jc w:val="right"/>
            </w:pPr>
            <w:r>
              <w:rPr>
                <w:rFonts w:ascii="宋体" w:eastAsia="宋体" w:hAnsi="宋体" w:cs="宋体"/>
                <w:b w:val="0"/>
                <w:i w:val="0"/>
                <w:color w:val="000000"/>
                <w:sz w:val="14"/>
              </w:rPr>
              <w:t xml:space="preserve">4.69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3.64</w:t>
            </w:r>
          </w:p>
        </w:tc>
        <w:tc>
          <w:tcPr>
            <w:tcW w:w="1060" w:type="dxa"/>
            <w:tcBorders/>
            <w:vAlign w:val="center"/>
          </w:tcPr>
          <w:p>
            <w:pPr>
              <w:jc w:val="right"/>
            </w:pPr>
            <w:r>
              <w:rPr>
                <w:rFonts w:ascii="宋体" w:eastAsia="宋体" w:hAnsi="宋体" w:cs="宋体"/>
                <w:b w:val="0"/>
                <w:i w:val="0"/>
                <w:color w:val="000000"/>
                <w:sz w:val="14"/>
              </w:rPr>
              <w:t xml:space="preserve">3.64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85.71</w:t>
            </w:r>
          </w:p>
        </w:tc>
        <w:tc>
          <w:tcPr>
            <w:tcW w:w="1060" w:type="dxa"/>
            <w:tcBorders/>
            <w:vAlign w:val="center"/>
          </w:tcPr>
          <w:p>
            <w:pPr>
              <w:jc w:val="right"/>
            </w:pPr>
            <w:r>
              <w:rPr>
                <w:rFonts w:ascii="宋体" w:eastAsia="宋体" w:hAnsi="宋体" w:cs="宋体"/>
                <w:b w:val="0"/>
                <w:i w:val="0"/>
                <w:color w:val="000000"/>
                <w:sz w:val="14"/>
              </w:rPr>
              <w:t xml:space="preserve">85.71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39.11</w:t>
            </w:r>
          </w:p>
        </w:tc>
        <w:tc>
          <w:tcPr>
            <w:tcW w:w="1060" w:type="dxa"/>
            <w:tcBorders/>
            <w:vAlign w:val="center"/>
          </w:tcPr>
          <w:p>
            <w:pPr>
              <w:jc w:val="right"/>
            </w:pPr>
            <w:r>
              <w:rPr>
                <w:rFonts w:ascii="宋体" w:eastAsia="宋体" w:hAnsi="宋体" w:cs="宋体"/>
                <w:b w:val="0"/>
                <w:i w:val="0"/>
                <w:color w:val="000000"/>
                <w:sz w:val="14"/>
              </w:rPr>
              <w:t xml:space="preserve">39.11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4.12</w:t>
            </w:r>
          </w:p>
        </w:tc>
        <w:tc>
          <w:tcPr>
            <w:tcW w:w="1060" w:type="dxa"/>
            <w:tcBorders/>
            <w:vAlign w:val="center"/>
          </w:tcPr>
          <w:p>
            <w:pPr>
              <w:jc w:val="right"/>
            </w:pPr>
            <w:r>
              <w:rPr>
                <w:rFonts w:ascii="宋体" w:eastAsia="宋体" w:hAnsi="宋体" w:cs="宋体"/>
                <w:b w:val="0"/>
                <w:i w:val="0"/>
                <w:color w:val="000000"/>
                <w:sz w:val="14"/>
              </w:rPr>
              <w:t xml:space="preserve">4.12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4.12</w:t>
            </w:r>
          </w:p>
        </w:tc>
        <w:tc>
          <w:tcPr>
            <w:tcW w:w="1060" w:type="dxa"/>
            <w:tcBorders/>
            <w:vAlign w:val="center"/>
          </w:tcPr>
          <w:p>
            <w:pPr>
              <w:jc w:val="right"/>
            </w:pPr>
            <w:r>
              <w:rPr>
                <w:rFonts w:ascii="宋体" w:eastAsia="宋体" w:hAnsi="宋体" w:cs="宋体"/>
                <w:b w:val="0"/>
                <w:i w:val="0"/>
                <w:color w:val="000000"/>
                <w:sz w:val="14"/>
              </w:rPr>
              <w:t xml:space="preserve">4.12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33.94</w:t>
            </w:r>
          </w:p>
        </w:tc>
        <w:tc>
          <w:tcPr>
            <w:tcW w:w="1060" w:type="dxa"/>
            <w:tcBorders/>
            <w:vAlign w:val="center"/>
          </w:tcPr>
          <w:p>
            <w:pPr>
              <w:jc w:val="right"/>
            </w:pPr>
            <w:r>
              <w:rPr>
                <w:rFonts w:ascii="宋体" w:eastAsia="宋体" w:hAnsi="宋体" w:cs="宋体"/>
                <w:b w:val="0"/>
                <w:i w:val="0"/>
                <w:color w:val="000000"/>
                <w:sz w:val="14"/>
              </w:rPr>
              <w:t xml:space="preserve">33.94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33.94</w:t>
            </w:r>
          </w:p>
        </w:tc>
        <w:tc>
          <w:tcPr>
            <w:tcW w:w="1060" w:type="dxa"/>
            <w:tcBorders/>
            <w:vAlign w:val="center"/>
          </w:tcPr>
          <w:p>
            <w:pPr>
              <w:jc w:val="right"/>
            </w:pPr>
            <w:r>
              <w:rPr>
                <w:rFonts w:ascii="宋体" w:eastAsia="宋体" w:hAnsi="宋体" w:cs="宋体"/>
                <w:b w:val="0"/>
                <w:i w:val="0"/>
                <w:color w:val="000000"/>
                <w:sz w:val="14"/>
              </w:rPr>
              <w:t xml:space="preserve">33.94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13.94</w:t>
            </w:r>
          </w:p>
        </w:tc>
        <w:tc>
          <w:tcPr>
            <w:tcW w:w="1060" w:type="dxa"/>
            <w:tcBorders/>
            <w:vAlign w:val="center"/>
          </w:tcPr>
          <w:p>
            <w:pPr>
              <w:jc w:val="right"/>
            </w:pPr>
            <w:r>
              <w:rPr>
                <w:rFonts w:ascii="宋体" w:eastAsia="宋体" w:hAnsi="宋体" w:cs="宋体"/>
                <w:b w:val="0"/>
                <w:i w:val="0"/>
                <w:color w:val="000000"/>
                <w:sz w:val="14"/>
              </w:rPr>
              <w:t xml:space="preserve">13.94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w:t>
            </w:r>
          </w:p>
        </w:tc>
        <w:tc>
          <w:tcPr>
            <w:tcW w:w="3440" w:type="dxa"/>
            <w:tcBorders/>
            <w:vAlign w:val="center"/>
          </w:tcPr>
          <w:p>
            <w:pPr>
              <w:jc w:val="left"/>
            </w:pPr>
            <w:r>
              <w:rPr>
                <w:rFonts w:ascii="宋体" w:eastAsia="宋体" w:hAnsi="宋体" w:cs="宋体"/>
                <w:b w:val="0"/>
                <w:i w:val="0"/>
                <w:color w:val="000000"/>
                <w:sz w:val="14"/>
              </w:rPr>
              <w:t xml:space="preserve">城乡社区公共设施</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2120399</w:t>
            </w:r>
          </w:p>
        </w:tc>
        <w:tc>
          <w:tcPr>
            <w:tcW w:w="3440" w:type="dxa"/>
            <w:tcBorders/>
            <w:vAlign w:val="center"/>
          </w:tcPr>
          <w:p>
            <w:pPr>
              <w:jc w:val="left"/>
            </w:pPr>
            <w:r>
              <w:rPr>
                <w:rFonts w:ascii="宋体" w:eastAsia="宋体" w:hAnsi="宋体" w:cs="宋体"/>
                <w:b w:val="0"/>
                <w:i w:val="0"/>
                <w:color w:val="000000"/>
                <w:sz w:val="14"/>
              </w:rPr>
              <w:t xml:space="preserve">其他城乡社区公共设施支出</w:t>
            </w: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92.19</w:t>
            </w:r>
          </w:p>
        </w:tc>
        <w:tc>
          <w:tcPr>
            <w:tcW w:w="1060" w:type="dxa"/>
            <w:tcBorders/>
            <w:vAlign w:val="center"/>
          </w:tcPr>
          <w:p>
            <w:pPr>
              <w:jc w:val="right"/>
            </w:pPr>
            <w:r>
              <w:rPr>
                <w:rFonts w:ascii="宋体" w:eastAsia="宋体" w:hAnsi="宋体" w:cs="宋体"/>
                <w:b w:val="0"/>
                <w:i w:val="0"/>
                <w:color w:val="000000"/>
                <w:sz w:val="14"/>
              </w:rPr>
              <w:t xml:space="preserve">92.19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92.19</w:t>
            </w:r>
          </w:p>
        </w:tc>
        <w:tc>
          <w:tcPr>
            <w:tcW w:w="1060" w:type="dxa"/>
            <w:tcBorders/>
            <w:vAlign w:val="center"/>
          </w:tcPr>
          <w:p>
            <w:pPr>
              <w:jc w:val="right"/>
            </w:pPr>
            <w:r>
              <w:rPr>
                <w:rFonts w:ascii="宋体" w:eastAsia="宋体" w:hAnsi="宋体" w:cs="宋体"/>
                <w:b w:val="0"/>
                <w:i w:val="0"/>
                <w:color w:val="000000"/>
                <w:sz w:val="14"/>
              </w:rPr>
              <w:t xml:space="preserve">92.19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92.19</w:t>
            </w:r>
          </w:p>
        </w:tc>
        <w:tc>
          <w:tcPr>
            <w:tcW w:w="1060" w:type="dxa"/>
            <w:tcBorders/>
            <w:vAlign w:val="center"/>
          </w:tcPr>
          <w:p>
            <w:pPr>
              <w:jc w:val="right"/>
            </w:pPr>
            <w:r>
              <w:rPr>
                <w:rFonts w:ascii="宋体" w:eastAsia="宋体" w:hAnsi="宋体" w:cs="宋体"/>
                <w:b w:val="0"/>
                <w:i w:val="0"/>
                <w:color w:val="000000"/>
                <w:sz w:val="14"/>
              </w:rPr>
              <w:t xml:space="preserve">92.19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部门：辽宁省沈阳市浑南区财政局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1,181.23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897.84</w:t>
            </w:r>
          </w:p>
        </w:tc>
        <w:tc>
          <w:tcPr>
            <w:tcW w:w="1100" w:type="dxa"/>
            <w:tcBorders/>
            <w:vAlign w:val="center"/>
          </w:tcPr>
          <w:p>
            <w:pPr>
              <w:jc w:val="right"/>
            </w:pPr>
            <w:r>
              <w:rPr>
                <w:rFonts w:ascii="宋体" w:eastAsia="宋体" w:hAnsi="宋体" w:cs="宋体"/>
                <w:b w:val="0"/>
                <w:i w:val="0"/>
                <w:color w:val="000000"/>
                <w:sz w:val="14"/>
              </w:rPr>
              <w:t xml:space="preserve">897.84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137.27</w:t>
            </w:r>
          </w:p>
        </w:tc>
        <w:tc>
          <w:tcPr>
            <w:tcW w:w="1100" w:type="dxa"/>
            <w:tcBorders/>
            <w:vAlign w:val="center"/>
          </w:tcPr>
          <w:p>
            <w:pPr>
              <w:jc w:val="right"/>
            </w:pPr>
            <w:r>
              <w:rPr>
                <w:rFonts w:ascii="宋体" w:eastAsia="宋体" w:hAnsi="宋体" w:cs="宋体"/>
                <w:b w:val="0"/>
                <w:i w:val="0"/>
                <w:color w:val="000000"/>
                <w:sz w:val="14"/>
              </w:rPr>
              <w:t xml:space="preserve">137.27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33.93</w:t>
            </w:r>
          </w:p>
        </w:tc>
        <w:tc>
          <w:tcPr>
            <w:tcW w:w="1100" w:type="dxa"/>
            <w:tcBorders/>
            <w:vAlign w:val="center"/>
          </w:tcPr>
          <w:p>
            <w:pPr>
              <w:jc w:val="right"/>
            </w:pPr>
            <w:r>
              <w:rPr>
                <w:rFonts w:ascii="宋体" w:eastAsia="宋体" w:hAnsi="宋体" w:cs="宋体"/>
                <w:b w:val="0"/>
                <w:i w:val="0"/>
                <w:color w:val="000000"/>
                <w:sz w:val="14"/>
              </w:rPr>
              <w:t xml:space="preserve">33.93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20.00</w:t>
            </w:r>
          </w:p>
        </w:tc>
        <w:tc>
          <w:tcPr>
            <w:tcW w:w="1100" w:type="dxa"/>
            <w:tcBorders/>
            <w:vAlign w:val="center"/>
          </w:tcPr>
          <w:p>
            <w:pPr>
              <w:jc w:val="right"/>
            </w:pPr>
            <w:r>
              <w:rPr>
                <w:rFonts w:ascii="宋体" w:eastAsia="宋体" w:hAnsi="宋体" w:cs="宋体"/>
                <w:b w:val="0"/>
                <w:i w:val="0"/>
                <w:color w:val="000000"/>
                <w:sz w:val="14"/>
              </w:rPr>
              <w:t xml:space="preserve">20.00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92.19</w:t>
            </w:r>
          </w:p>
        </w:tc>
        <w:tc>
          <w:tcPr>
            <w:tcW w:w="1100" w:type="dxa"/>
            <w:tcBorders/>
            <w:vAlign w:val="center"/>
          </w:tcPr>
          <w:p>
            <w:pPr>
              <w:jc w:val="right"/>
            </w:pPr>
            <w:r>
              <w:rPr>
                <w:rFonts w:ascii="宋体" w:eastAsia="宋体" w:hAnsi="宋体" w:cs="宋体"/>
                <w:b w:val="0"/>
                <w:i w:val="0"/>
                <w:color w:val="000000"/>
                <w:sz w:val="14"/>
              </w:rPr>
              <w:t xml:space="preserve">92.19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1,181.23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1,181.23</w:t>
            </w:r>
          </w:p>
        </w:tc>
        <w:tc>
          <w:tcPr>
            <w:tcW w:w="1100" w:type="dxa"/>
            <w:tcBorders/>
            <w:vAlign w:val="center"/>
          </w:tcPr>
          <w:p>
            <w:pPr>
              <w:jc w:val="right"/>
            </w:pPr>
            <w:r>
              <w:rPr>
                <w:rFonts w:ascii="宋体" w:eastAsia="宋体" w:hAnsi="宋体" w:cs="宋体"/>
                <w:b w:val="0"/>
                <w:i w:val="0"/>
                <w:color w:val="000000"/>
                <w:sz w:val="14"/>
              </w:rPr>
              <w:t xml:space="preserve">1,181.23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1,181.23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1,181.23</w:t>
            </w:r>
          </w:p>
        </w:tc>
        <w:tc>
          <w:tcPr>
            <w:tcW w:w="1100" w:type="dxa"/>
            <w:tcBorders/>
            <w:vAlign w:val="center"/>
          </w:tcPr>
          <w:p>
            <w:pPr>
              <w:jc w:val="right"/>
            </w:pPr>
            <w:r>
              <w:rPr>
                <w:rFonts w:ascii="宋体" w:eastAsia="宋体" w:hAnsi="宋体" w:cs="宋体"/>
                <w:b w:val="0"/>
                <w:i w:val="0"/>
                <w:color w:val="000000"/>
                <w:sz w:val="14"/>
              </w:rPr>
              <w:t xml:space="preserve">1,181.23</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部门：辽宁省沈阳市浑南区财政局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1,181.23</w:t>
            </w:r>
          </w:p>
        </w:tc>
        <w:tc>
          <w:tcPr>
            <w:tcW w:w="1780" w:type="dxa"/>
            <w:tcBorders/>
            <w:vAlign w:val="center"/>
          </w:tcPr>
          <w:p>
            <w:pPr>
              <w:jc w:val="right"/>
            </w:pPr>
            <w:r>
              <w:rPr>
                <w:rFonts w:ascii="宋体" w:eastAsia="宋体" w:hAnsi="宋体" w:cs="宋体"/>
                <w:b/>
                <w:i w:val="0"/>
                <w:color w:val="000000"/>
                <w:sz w:val="18"/>
              </w:rPr>
              <w:t xml:space="preserve">941.39</w:t>
            </w:r>
          </w:p>
        </w:tc>
        <w:tc>
          <w:tcPr>
            <w:tcW w:w="1772" w:type="dxa"/>
            <w:tcBorders/>
            <w:vAlign w:val="center"/>
          </w:tcPr>
          <w:p>
            <w:pPr>
              <w:jc w:val="right"/>
            </w:pPr>
            <w:r>
              <w:rPr>
                <w:rFonts w:ascii="宋体" w:eastAsia="宋体" w:hAnsi="宋体" w:cs="宋体"/>
                <w:b/>
                <w:i w:val="0"/>
                <w:color w:val="000000"/>
                <w:sz w:val="18"/>
              </w:rPr>
              <w:t xml:space="preserve">239.84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897.84</w:t>
            </w:r>
          </w:p>
        </w:tc>
        <w:tc>
          <w:tcPr>
            <w:tcW w:w="1780" w:type="dxa"/>
            <w:tcBorders/>
            <w:vAlign w:val="center"/>
          </w:tcPr>
          <w:p>
            <w:pPr>
              <w:jc w:val="right"/>
            </w:pPr>
            <w:r>
              <w:rPr>
                <w:rFonts w:ascii="宋体" w:eastAsia="宋体" w:hAnsi="宋体" w:cs="宋体"/>
                <w:b w:val="0"/>
                <w:i w:val="0"/>
                <w:color w:val="000000"/>
                <w:sz w:val="18"/>
              </w:rPr>
              <w:t xml:space="preserve">678.00</w:t>
            </w:r>
          </w:p>
        </w:tc>
        <w:tc>
          <w:tcPr>
            <w:tcW w:w="1772" w:type="dxa"/>
            <w:tcBorders/>
            <w:vAlign w:val="center"/>
          </w:tcPr>
          <w:p>
            <w:pPr>
              <w:jc w:val="right"/>
            </w:pPr>
            <w:r>
              <w:rPr>
                <w:rFonts w:ascii="宋体" w:eastAsia="宋体" w:hAnsi="宋体" w:cs="宋体"/>
                <w:b w:val="0"/>
                <w:i w:val="0"/>
                <w:color w:val="000000"/>
                <w:sz w:val="18"/>
              </w:rPr>
              <w:t xml:space="preserve">219.84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w:t>
            </w:r>
          </w:p>
        </w:tc>
        <w:tc>
          <w:tcPr>
            <w:tcW w:w="4300" w:type="dxa"/>
            <w:tcBorders/>
            <w:vAlign w:val="center"/>
          </w:tcPr>
          <w:p>
            <w:pPr>
              <w:jc w:val="left"/>
            </w:pPr>
            <w:r>
              <w:rPr>
                <w:rFonts w:ascii="宋体" w:eastAsia="宋体" w:hAnsi="宋体" w:cs="宋体"/>
                <w:b w:val="0"/>
                <w:i w:val="0"/>
                <w:color w:val="000000"/>
                <w:sz w:val="18"/>
              </w:rPr>
              <w:t xml:space="preserve">财政事务</w:t>
            </w:r>
          </w:p>
        </w:tc>
        <w:tc>
          <w:tcPr>
            <w:tcW w:w="1780" w:type="dxa"/>
            <w:tcBorders/>
            <w:vAlign w:val="center"/>
          </w:tcPr>
          <w:p>
            <w:pPr>
              <w:jc w:val="right"/>
            </w:pPr>
            <w:r>
              <w:rPr>
                <w:rFonts w:ascii="宋体" w:eastAsia="宋体" w:hAnsi="宋体" w:cs="宋体"/>
                <w:b w:val="0"/>
                <w:i w:val="0"/>
                <w:color w:val="000000"/>
                <w:sz w:val="18"/>
              </w:rPr>
              <w:t xml:space="preserve">897.84</w:t>
            </w:r>
          </w:p>
        </w:tc>
        <w:tc>
          <w:tcPr>
            <w:tcW w:w="1780" w:type="dxa"/>
            <w:tcBorders/>
            <w:vAlign w:val="center"/>
          </w:tcPr>
          <w:p>
            <w:pPr>
              <w:jc w:val="right"/>
            </w:pPr>
            <w:r>
              <w:rPr>
                <w:rFonts w:ascii="宋体" w:eastAsia="宋体" w:hAnsi="宋体" w:cs="宋体"/>
                <w:b w:val="0"/>
                <w:i w:val="0"/>
                <w:color w:val="000000"/>
                <w:sz w:val="18"/>
              </w:rPr>
              <w:t xml:space="preserve">678.00</w:t>
            </w:r>
          </w:p>
        </w:tc>
        <w:tc>
          <w:tcPr>
            <w:tcW w:w="1772" w:type="dxa"/>
            <w:tcBorders/>
            <w:vAlign w:val="center"/>
          </w:tcPr>
          <w:p>
            <w:pPr>
              <w:jc w:val="right"/>
            </w:pPr>
            <w:r>
              <w:rPr>
                <w:rFonts w:ascii="宋体" w:eastAsia="宋体" w:hAnsi="宋体" w:cs="宋体"/>
                <w:b w:val="0"/>
                <w:i w:val="0"/>
                <w:color w:val="000000"/>
                <w:sz w:val="18"/>
              </w:rPr>
              <w:t xml:space="preserve">219.84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289.02</w:t>
            </w:r>
          </w:p>
        </w:tc>
        <w:tc>
          <w:tcPr>
            <w:tcW w:w="1780" w:type="dxa"/>
            <w:tcBorders/>
            <w:vAlign w:val="center"/>
          </w:tcPr>
          <w:p>
            <w:pPr>
              <w:jc w:val="right"/>
            </w:pPr>
            <w:r>
              <w:rPr>
                <w:rFonts w:ascii="宋体" w:eastAsia="宋体" w:hAnsi="宋体" w:cs="宋体"/>
                <w:b w:val="0"/>
                <w:i w:val="0"/>
                <w:color w:val="000000"/>
                <w:sz w:val="18"/>
              </w:rPr>
              <w:t xml:space="preserve">289.02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195.29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195.29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388.98</w:t>
            </w:r>
          </w:p>
        </w:tc>
        <w:tc>
          <w:tcPr>
            <w:tcW w:w="1780" w:type="dxa"/>
            <w:tcBorders/>
            <w:vAlign w:val="center"/>
          </w:tcPr>
          <w:p>
            <w:pPr>
              <w:jc w:val="right"/>
            </w:pPr>
            <w:r>
              <w:rPr>
                <w:rFonts w:ascii="宋体" w:eastAsia="宋体" w:hAnsi="宋体" w:cs="宋体"/>
                <w:b w:val="0"/>
                <w:i w:val="0"/>
                <w:color w:val="000000"/>
                <w:sz w:val="18"/>
              </w:rPr>
              <w:t xml:space="preserve">388.98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2010699</w:t>
            </w:r>
          </w:p>
        </w:tc>
        <w:tc>
          <w:tcPr>
            <w:tcW w:w="4300" w:type="dxa"/>
            <w:tcBorders/>
            <w:vAlign w:val="center"/>
          </w:tcPr>
          <w:p>
            <w:pPr>
              <w:jc w:val="left"/>
            </w:pPr>
            <w:r>
              <w:rPr>
                <w:rFonts w:ascii="宋体" w:eastAsia="宋体" w:hAnsi="宋体" w:cs="宋体"/>
                <w:b w:val="0"/>
                <w:i w:val="0"/>
                <w:color w:val="000000"/>
                <w:sz w:val="18"/>
              </w:rPr>
              <w:t xml:space="preserve">其他财政事务支出</w:t>
            </w:r>
          </w:p>
        </w:tc>
        <w:tc>
          <w:tcPr>
            <w:tcW w:w="1780" w:type="dxa"/>
            <w:tcBorders/>
            <w:vAlign w:val="center"/>
          </w:tcPr>
          <w:p>
            <w:pPr>
              <w:jc w:val="right"/>
            </w:pPr>
            <w:r>
              <w:rPr>
                <w:rFonts w:ascii="宋体" w:eastAsia="宋体" w:hAnsi="宋体" w:cs="宋体"/>
                <w:b w:val="0"/>
                <w:i w:val="0"/>
                <w:color w:val="000000"/>
                <w:sz w:val="18"/>
              </w:rPr>
              <w:t xml:space="preserve">24.55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24.55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137.27</w:t>
            </w:r>
          </w:p>
        </w:tc>
        <w:tc>
          <w:tcPr>
            <w:tcW w:w="1780" w:type="dxa"/>
            <w:tcBorders/>
            <w:vAlign w:val="center"/>
          </w:tcPr>
          <w:p>
            <w:pPr>
              <w:jc w:val="right"/>
            </w:pPr>
            <w:r>
              <w:rPr>
                <w:rFonts w:ascii="宋体" w:eastAsia="宋体" w:hAnsi="宋体" w:cs="宋体"/>
                <w:b w:val="0"/>
                <w:i w:val="0"/>
                <w:color w:val="000000"/>
                <w:sz w:val="18"/>
              </w:rPr>
              <w:t xml:space="preserve">137.27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133.15</w:t>
            </w:r>
          </w:p>
        </w:tc>
        <w:tc>
          <w:tcPr>
            <w:tcW w:w="1780" w:type="dxa"/>
            <w:tcBorders/>
            <w:vAlign w:val="center"/>
          </w:tcPr>
          <w:p>
            <w:pPr>
              <w:jc w:val="right"/>
            </w:pPr>
            <w:r>
              <w:rPr>
                <w:rFonts w:ascii="宋体" w:eastAsia="宋体" w:hAnsi="宋体" w:cs="宋体"/>
                <w:b w:val="0"/>
                <w:i w:val="0"/>
                <w:color w:val="000000"/>
                <w:sz w:val="18"/>
              </w:rPr>
              <w:t xml:space="preserve">133.15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4.69</w:t>
            </w:r>
          </w:p>
        </w:tc>
        <w:tc>
          <w:tcPr>
            <w:tcW w:w="1780" w:type="dxa"/>
            <w:tcBorders/>
            <w:vAlign w:val="center"/>
          </w:tcPr>
          <w:p>
            <w:pPr>
              <w:jc w:val="right"/>
            </w:pPr>
            <w:r>
              <w:rPr>
                <w:rFonts w:ascii="宋体" w:eastAsia="宋体" w:hAnsi="宋体" w:cs="宋体"/>
                <w:b w:val="0"/>
                <w:i w:val="0"/>
                <w:color w:val="000000"/>
                <w:sz w:val="18"/>
              </w:rPr>
              <w:t xml:space="preserve">4.69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3.64</w:t>
            </w:r>
          </w:p>
        </w:tc>
        <w:tc>
          <w:tcPr>
            <w:tcW w:w="1780" w:type="dxa"/>
            <w:tcBorders/>
            <w:vAlign w:val="center"/>
          </w:tcPr>
          <w:p>
            <w:pPr>
              <w:jc w:val="right"/>
            </w:pPr>
            <w:r>
              <w:rPr>
                <w:rFonts w:ascii="宋体" w:eastAsia="宋体" w:hAnsi="宋体" w:cs="宋体"/>
                <w:b w:val="0"/>
                <w:i w:val="0"/>
                <w:color w:val="000000"/>
                <w:sz w:val="18"/>
              </w:rPr>
              <w:t xml:space="preserve">3.64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85.71</w:t>
            </w:r>
          </w:p>
        </w:tc>
        <w:tc>
          <w:tcPr>
            <w:tcW w:w="1780" w:type="dxa"/>
            <w:tcBorders/>
            <w:vAlign w:val="center"/>
          </w:tcPr>
          <w:p>
            <w:pPr>
              <w:jc w:val="right"/>
            </w:pPr>
            <w:r>
              <w:rPr>
                <w:rFonts w:ascii="宋体" w:eastAsia="宋体" w:hAnsi="宋体" w:cs="宋体"/>
                <w:b w:val="0"/>
                <w:i w:val="0"/>
                <w:color w:val="000000"/>
                <w:sz w:val="18"/>
              </w:rPr>
              <w:t xml:space="preserve">85.71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39.11</w:t>
            </w:r>
          </w:p>
        </w:tc>
        <w:tc>
          <w:tcPr>
            <w:tcW w:w="1780" w:type="dxa"/>
            <w:tcBorders/>
            <w:vAlign w:val="center"/>
          </w:tcPr>
          <w:p>
            <w:pPr>
              <w:jc w:val="right"/>
            </w:pPr>
            <w:r>
              <w:rPr>
                <w:rFonts w:ascii="宋体" w:eastAsia="宋体" w:hAnsi="宋体" w:cs="宋体"/>
                <w:b w:val="0"/>
                <w:i w:val="0"/>
                <w:color w:val="000000"/>
                <w:sz w:val="18"/>
              </w:rPr>
              <w:t xml:space="preserve">39.11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4.12</w:t>
            </w:r>
          </w:p>
        </w:tc>
        <w:tc>
          <w:tcPr>
            <w:tcW w:w="1780" w:type="dxa"/>
            <w:tcBorders/>
            <w:vAlign w:val="center"/>
          </w:tcPr>
          <w:p>
            <w:pPr>
              <w:jc w:val="right"/>
            </w:pPr>
            <w:r>
              <w:rPr>
                <w:rFonts w:ascii="宋体" w:eastAsia="宋体" w:hAnsi="宋体" w:cs="宋体"/>
                <w:b w:val="0"/>
                <w:i w:val="0"/>
                <w:color w:val="000000"/>
                <w:sz w:val="18"/>
              </w:rPr>
              <w:t xml:space="preserve">4.12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4.12</w:t>
            </w:r>
          </w:p>
        </w:tc>
        <w:tc>
          <w:tcPr>
            <w:tcW w:w="1780" w:type="dxa"/>
            <w:tcBorders/>
            <w:vAlign w:val="center"/>
          </w:tcPr>
          <w:p>
            <w:pPr>
              <w:jc w:val="right"/>
            </w:pPr>
            <w:r>
              <w:rPr>
                <w:rFonts w:ascii="宋体" w:eastAsia="宋体" w:hAnsi="宋体" w:cs="宋体"/>
                <w:b w:val="0"/>
                <w:i w:val="0"/>
                <w:color w:val="000000"/>
                <w:sz w:val="18"/>
              </w:rPr>
              <w:t xml:space="preserve">4.12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33.94</w:t>
            </w:r>
          </w:p>
        </w:tc>
        <w:tc>
          <w:tcPr>
            <w:tcW w:w="1780" w:type="dxa"/>
            <w:tcBorders/>
            <w:vAlign w:val="center"/>
          </w:tcPr>
          <w:p>
            <w:pPr>
              <w:jc w:val="right"/>
            </w:pPr>
            <w:r>
              <w:rPr>
                <w:rFonts w:ascii="宋体" w:eastAsia="宋体" w:hAnsi="宋体" w:cs="宋体"/>
                <w:b w:val="0"/>
                <w:i w:val="0"/>
                <w:color w:val="000000"/>
                <w:sz w:val="18"/>
              </w:rPr>
              <w:t xml:space="preserve">33.94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33.94</w:t>
            </w:r>
          </w:p>
        </w:tc>
        <w:tc>
          <w:tcPr>
            <w:tcW w:w="1780" w:type="dxa"/>
            <w:tcBorders/>
            <w:vAlign w:val="center"/>
          </w:tcPr>
          <w:p>
            <w:pPr>
              <w:jc w:val="right"/>
            </w:pPr>
            <w:r>
              <w:rPr>
                <w:rFonts w:ascii="宋体" w:eastAsia="宋体" w:hAnsi="宋体" w:cs="宋体"/>
                <w:b w:val="0"/>
                <w:i w:val="0"/>
                <w:color w:val="000000"/>
                <w:sz w:val="18"/>
              </w:rPr>
              <w:t xml:space="preserve">33.94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13.94</w:t>
            </w:r>
          </w:p>
        </w:tc>
        <w:tc>
          <w:tcPr>
            <w:tcW w:w="1780" w:type="dxa"/>
            <w:tcBorders/>
            <w:vAlign w:val="center"/>
          </w:tcPr>
          <w:p>
            <w:pPr>
              <w:jc w:val="right"/>
            </w:pPr>
            <w:r>
              <w:rPr>
                <w:rFonts w:ascii="宋体" w:eastAsia="宋体" w:hAnsi="宋体" w:cs="宋体"/>
                <w:b w:val="0"/>
                <w:i w:val="0"/>
                <w:color w:val="000000"/>
                <w:sz w:val="18"/>
              </w:rPr>
              <w:t xml:space="preserve">13.94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20.00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92.19</w:t>
            </w:r>
          </w:p>
        </w:tc>
        <w:tc>
          <w:tcPr>
            <w:tcW w:w="1780" w:type="dxa"/>
            <w:tcBorders/>
            <w:vAlign w:val="center"/>
          </w:tcPr>
          <w:p>
            <w:pPr>
              <w:jc w:val="right"/>
            </w:pPr>
            <w:r>
              <w:rPr>
                <w:rFonts w:ascii="宋体" w:eastAsia="宋体" w:hAnsi="宋体" w:cs="宋体"/>
                <w:b w:val="0"/>
                <w:i w:val="0"/>
                <w:color w:val="000000"/>
                <w:sz w:val="18"/>
              </w:rPr>
              <w:t xml:space="preserve">92.19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92.19</w:t>
            </w:r>
          </w:p>
        </w:tc>
        <w:tc>
          <w:tcPr>
            <w:tcW w:w="1780" w:type="dxa"/>
            <w:tcBorders/>
            <w:vAlign w:val="center"/>
          </w:tcPr>
          <w:p>
            <w:pPr>
              <w:jc w:val="right"/>
            </w:pPr>
            <w:r>
              <w:rPr>
                <w:rFonts w:ascii="宋体" w:eastAsia="宋体" w:hAnsi="宋体" w:cs="宋体"/>
                <w:b w:val="0"/>
                <w:i w:val="0"/>
                <w:color w:val="000000"/>
                <w:sz w:val="18"/>
              </w:rPr>
              <w:t xml:space="preserve">92.19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92.19</w:t>
            </w:r>
          </w:p>
        </w:tc>
        <w:tc>
          <w:tcPr>
            <w:tcW w:w="1780" w:type="dxa"/>
            <w:tcBorders/>
            <w:vAlign w:val="center"/>
          </w:tcPr>
          <w:p>
            <w:pPr>
              <w:jc w:val="right"/>
            </w:pPr>
            <w:r>
              <w:rPr>
                <w:rFonts w:ascii="宋体" w:eastAsia="宋体" w:hAnsi="宋体" w:cs="宋体"/>
                <w:b w:val="0"/>
                <w:i w:val="0"/>
                <w:color w:val="000000"/>
                <w:sz w:val="18"/>
              </w:rPr>
              <w:t xml:space="preserve">92.19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部门：辽宁省沈阳市浑南区财政局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866.21</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61.47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240.81</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6.63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74.76</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0.01</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94.05</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18.88</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183.69</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85.71</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39.11</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30.90</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33.93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3.09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2.26</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92.19</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13.71</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8.33</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4.12</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1.26</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4.68</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16.99</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879.92</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61.47</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部门：辽宁省沈阳市浑南区财政局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部门：辽宁省沈阳市浑南区财政局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部门：辽宁省沈阳市浑南区财政局</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017001沈阳市浑南区财政局本级-210112000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468.28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468.28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95.31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287.03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287.03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贯彻中央财政工作金融工作的方针政策，履行职责过程中坚持和加强党对财政工作和金融工作的集中统一领导</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贯彻中央财政工作金融工作的方针政策，履行职责过程中坚持和加强党对财政工作和金融工作的集中统一领导</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党的建设指标考核工作完成率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平台及网络设备无障碍运行情况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正常运行</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政府直属部门职工总体满意度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基本健全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017002沈阳市浑南区财政事务服务中心-210112000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575.9</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575.9</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390.59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390.58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123.89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123.88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按照预算要求严格执行各项指标</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按照预算要求严格执行各项指标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党的建设指标考核工作完成率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平台及网络设备无障碍运行情况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正常运行</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政府直属部门职工总体满意度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基本健全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办公设备更新</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办公设备更新购置是为了适应工作需求，提高工作效率。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办公设备更新购置是为了适应工作需求，提高工作效率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财政业务印刷费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为满足2024年部门预算编报工作的需求，印刷部门预算材料及2025年政府收支分类科目本300本，保障科室基础工作顺利开展。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为提高财政资金运行的安全性和政府服务效能，利用信息网络技术，提高工作效率和政务服务水平，做好日常财政软件系统维护工作，确保全年财政工作顺利实施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26.0174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财政预决算工作会议经费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60.71%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参加全市预决算会审会议，顺利完成全审工作。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参加全市预决算会审会议，顺利完成全审工作。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参加或举办各种会议、培训次数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培训批次、期数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批次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培训目标达成率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财务决算审计完成时间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召开会议及时性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会议培训成本控制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机制健全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培训成本规范管理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严控成本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17.071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党刊报刊订阅费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按上级部门分配任务、认真完成全区报刊征订任务，拓宽预算单位了解财经信息渠道</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按上级部门分配任务、认真完成全区报刊征订任务，拓宽预算单位了解财经信息渠道</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报刊杂志订购份数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地方政府专项债券咨询服务费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96.15%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聘请中介进行咨询服务，达到管理不出现偏差，服务满意。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聘请中介进行咨询服务，达到管理不出现偏差，服务满意。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聘请服务人员数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聘用专家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咨询结果有效率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服务机构合格率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服务响应及时率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技术服务费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整体债务规模缩减比例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咨询项目研究成果应用率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项目服务对象满意率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法律咨询费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升我局依法行政的能力和质量，规避和预防政府采购工作中可能出现的法律风险和法律纠纷，借鉴辽宁省财政厅、沈阳市财政局以及其他区县财政局的经验作法，聘请律师事务所为政府采购行政执法工作提供法律顾问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升我局依法行政的能力和质量，规避和预防政府采购工作中可能出现的法律风险和法律纠纷，借鉴辽宁省财政厅、沈阳市财政局以及其他区县财政局的经验作法，聘请律师事务所为政府采购行政执法工作提供法律顾问服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为本单位政府雇员提供办公经费、取暖费、伙食补助费等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为本单位政府雇员提供办公经费、取暖费、伙食补助费等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社会舆论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17.86571687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挂职干部人员经费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为挂职干部提供房屋租赁、水电网络、办公等费用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为挂职干部提供房屋租赁、水电网络、办公等费用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挂职人员基本支出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社会舆论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94.25%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按照全区统一安排,严格按标准及时缴纳残疾人就业保障金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按照全区统一安排,严格按标准及时缴纳残疾人就业保障金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历史档案整理费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对以前年度文书档案及会计凭证档案收集，进行规范管理，使档案信息资源能准确、方便、快捷地提供利用，满足对本单位及预算单位查档需求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对以前年度文书档案及会计凭证档案收集，进行规范管理，使档案信息资源能准确、方便、快捷地提供利用，满足对本单位及预算单位查档需求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档案管理制度健全性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票据费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为提高政府服务效能，保障全区行政事业单位票据使用、工作有序开展。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为提高政府服务效能，保障全区行政事业单位票据使用、工作有序开展。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聘请专业人员中介审计费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通过委托第三方机构，对我区部分项目资金进行事前、事后绩效评估，提高资金使用效率的目的。</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通过委托第三方机构，对我区部分项目资金进行事前、事后绩效评估，提高资金使用效率的目的。</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59.43%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为提高财政资金运行的安全性和政府服务效能，利用信息网络技术，提高工作效率和政务服务水平，做好日常财政软件系统维护工作，确保全年财政工作顺利实施。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为提高财政资金运行的安全性和政府服务效能，利用信息网络技术，提高工作效率和政务服务水平，做好日常财政软件系统维护工作，确保全年财政工作顺利实施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系统软件运维数量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购买软件和服务数量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监管专用软件维护更新频率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经费拨付程序合规性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软件和备播系统集成完成及时性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提高工作效率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办理单位满意度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用户满意度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26.94262295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外聘劳务经费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为国企3人提供伙食费、办公经费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为国企3人提供伙食费、办公经费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社会舆论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17.65416667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资产运营费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根据目前管理资产安排鑫鸿建运营费用及维修维护费用，保障鑫鸿建正常运营管理和维修维护，如处置出售资产，正常交付佣金。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根据目前管理资产安排鑫鸿建运营费用及维修维护费用，保障鑫鸿建正常运营管理和维修维护，如处置出售资产，正常交付佣金。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维修屋面面积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资产更新维修及时率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维修养护投资完成率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维修维护费控制情况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正常运营产业项目数量占比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运营管护长效机制建设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基础设施维修改造单位职工满意度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33.02828283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2021年购买中介机构服务费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支付2021年购买中介机构服务费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支付2021年购买中介机构服务费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劳务费支出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全省上市公司研发费用投入增长率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财税事务管理专项业务经费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对现有档案室进行升级改造，以适用于现有档案存放。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对现有档案室进行升级改造，以适用于现有档案存放。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设备更新改造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个（台、套、件、辆）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设备、设施改造数量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台</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档案管理规范化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管理规范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改造工程按期完工率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维修改造成本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档案管理规范化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管理规范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档案管理制度健全性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工程造价审核费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31.24238311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74.38%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项目专业人员占比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8.43760984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按照全区统一安排,严格按标准及时缴纳残疾人就业保障金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按照全区统一安排,严格按标准及时缴纳残疾人就业保障金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历史遗留问题生活补助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领取生活补助的人数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领取生活补助的人数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31.39093041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外聘劳务经费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61.75%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15.57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聘用人员完成率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17.17507881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