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辽宁省沈阳市浑南区房产事务服务中心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辽宁省沈阳市浑南区房产事务服务中心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辽宁省沈阳市浑南区房产事务服务中心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辽宁省沈阳市浑南区房产事务服务中心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辽宁省沈阳市浑南区房产事务服务中心概况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（一)负责受理住宅区服务、住宅专项维修资金管理服务、住宅区更新、供热事业发展工作的信访、12345等各类网络平台投诉等服务保障工作。负责办理上级交办、转办的信访事项工作。</w:t>
        <w:br/>
        <w:t xml:space="preserve">    (二)负责为行政区域内物业管理提供服务保障;负责为物业招投标、物业服务合同、物业承接查验、物业管理区域、业主委员会的备案提供服务保障;负责为物业管理服务投诉受理及回复等工作提供服务保障;负责为住宅区综合治理、住宅区智慧化管理、疫情防控、创建文明城市、卫生城市、精细化管理等提供服务保障。</w:t>
        <w:br/>
        <w:t xml:space="preserve">    (三)为全区住宅专项维修资金的交存、使用和管理、补交、续交等工作提供相供服务保障。为全区住宅专项维修资金的政策宣传、解答及业务指导提供服务保障。</w:t>
        <w:br/>
        <w:t xml:space="preserve">    (四)为全区老旧住宅区改造更新工作提供服务保障。负责全区住宅区既有住宅增设电梯工作。负责为创建文明城市和卫生城市及精细化管理旧住宅区的维修工程工作。</w:t>
        <w:br/>
        <w:t xml:space="preserve">    (五)为全区供热市场、全区供热补贴的审核、推进供热计量、配合供热协会业务指导与培训提供服务保障工作。</w:t>
        <w:br/>
        <w:t xml:space="preserve">    (六)完成区委、区政府及区房产事务服务中心交办的其他任务。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辽宁省沈阳市浑南区房产事务服务中心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沈阳市浑南区房产事务服务中心，本单位无下设机构。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2446.76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2446.76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2446.76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减少1605.15万元，降低39.61%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多数为老旧小区改造项目的收入减少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2446.76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642.95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26.28</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工资福利支出569.02万元；商品和服务支出30.58万元；对个人和家庭的补助43.35万元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1803.81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73.72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主要包括老旧小区改造等业务支出。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减少1605.15万元，降低39.61%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老旧小区改造项目的支出减少了</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2446.76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642.95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1803.81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减少1599.30万元，降低39.53%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老旧小区改造项目的支出减少了</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318.14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85.88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8829.22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2024年度一般公共预算财政拨款支出2446.76万元。按支出功能分类科目分，包括：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1.社会保障和就业支出124.92万元，具体包括：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41.13万元,主要是退休人员取暖费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56.60万元,主要是单位基本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22.97万元,主要是职业年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4.22万元,主要是抚恤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2.卫生健康支出22.68万元，具体包括：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22.68万元,主要是在职人员医疗保险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3.城乡社区支出636.19万元，具体包括：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446.76万元,主要是社保以及工资、相关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公共设施（款）其他城乡社区公共设施支出（项）189.43万元,主要是老旧小区改造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4.住房保障支出1662.96万元，具体包括：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保障性安居工程支出（款）老旧小区改造（项）1604.83万元,主要是老旧小区改造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住房保障支出（类）住房改革支出（款）住房公积金（项）58.13万元,主要是单位职工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642.95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612.37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30.58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我单位为事业单位，无机关运行经费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748.65万元。其中，一般公共预算资金769.08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2；得分在60分以下、等级为“差”的项目有1个。各项目自评发现，部分项目存在未完成问题，如：效益指标未能完全达成，已要求相关项目单位分析原因并制定改进措施。</w:t>
        <w:br/>
        <w:t xml:space="preserve">    3.部门重点评价情况及结果。</w:t>
        <w:br/>
        <w:t xml:space="preserve">    我部门组织对2个项目重点评价，结果显示，被评价项目整体绩效情况良好。其中：第一个重点项目为“偿还以前年度工程欠款及化解历史遗留问题”，涉及资金1331.6万元，评价平均分为100分，评级情况为优（优、良等）；第二个重点项目为“工程款”，涉及资金233.23万元，评价平均分为100分，评级情况为优（优、良等）。同时，评价也发现派遣人员经费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16.住房保障支出（类）保障性安居工程支出（款）老旧小区改造（项）：反映用于老旧小区改造方面的支出。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2,446.76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124.92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22.68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636.19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1,662.96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2,446.76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2,446.76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2,446.76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2,446.76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2,446.76</w:t>
            </w:r>
          </w:p>
        </w:tc>
        <w:tc>
          <w:tcPr>
            <w:tcW w:w="960" w:type="dxa"/>
            <w:tcBorders/>
            <w:vAlign w:val="center"/>
          </w:tcPr>
          <w:p>
            <w:pPr>
              <w:jc w:val="right"/>
            </w:pPr>
            <w:r>
              <w:rPr>
                <w:rFonts w:ascii="宋体" w:eastAsia="宋体" w:hAnsi="宋体" w:cs="宋体"/>
                <w:b/>
                <w:i w:val="0"/>
                <w:color w:val="000000"/>
                <w:sz w:val="13"/>
              </w:rPr>
              <w:t xml:space="preserve">2,446.76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124.92</w:t>
            </w:r>
          </w:p>
        </w:tc>
        <w:tc>
          <w:tcPr>
            <w:tcW w:w="960" w:type="dxa"/>
            <w:tcBorders/>
            <w:vAlign w:val="center"/>
          </w:tcPr>
          <w:p>
            <w:pPr>
              <w:jc w:val="right"/>
            </w:pPr>
            <w:r>
              <w:rPr>
                <w:rFonts w:ascii="宋体" w:eastAsia="宋体" w:hAnsi="宋体" w:cs="宋体"/>
                <w:b w:val="0"/>
                <w:i w:val="0"/>
                <w:color w:val="000000"/>
                <w:sz w:val="13"/>
              </w:rPr>
              <w:t xml:space="preserve">124.92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120.70</w:t>
            </w:r>
          </w:p>
        </w:tc>
        <w:tc>
          <w:tcPr>
            <w:tcW w:w="960" w:type="dxa"/>
            <w:tcBorders/>
            <w:vAlign w:val="center"/>
          </w:tcPr>
          <w:p>
            <w:pPr>
              <w:jc w:val="right"/>
            </w:pPr>
            <w:r>
              <w:rPr>
                <w:rFonts w:ascii="宋体" w:eastAsia="宋体" w:hAnsi="宋体" w:cs="宋体"/>
                <w:b w:val="0"/>
                <w:i w:val="0"/>
                <w:color w:val="000000"/>
                <w:sz w:val="13"/>
              </w:rPr>
              <w:t xml:space="preserve">120.70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41.13</w:t>
            </w:r>
          </w:p>
        </w:tc>
        <w:tc>
          <w:tcPr>
            <w:tcW w:w="960" w:type="dxa"/>
            <w:tcBorders/>
            <w:vAlign w:val="center"/>
          </w:tcPr>
          <w:p>
            <w:pPr>
              <w:jc w:val="right"/>
            </w:pPr>
            <w:r>
              <w:rPr>
                <w:rFonts w:ascii="宋体" w:eastAsia="宋体" w:hAnsi="宋体" w:cs="宋体"/>
                <w:b w:val="0"/>
                <w:i w:val="0"/>
                <w:color w:val="000000"/>
                <w:sz w:val="13"/>
              </w:rPr>
              <w:t xml:space="preserve">41.13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56.60</w:t>
            </w:r>
          </w:p>
        </w:tc>
        <w:tc>
          <w:tcPr>
            <w:tcW w:w="960" w:type="dxa"/>
            <w:tcBorders/>
            <w:vAlign w:val="center"/>
          </w:tcPr>
          <w:p>
            <w:pPr>
              <w:jc w:val="right"/>
            </w:pPr>
            <w:r>
              <w:rPr>
                <w:rFonts w:ascii="宋体" w:eastAsia="宋体" w:hAnsi="宋体" w:cs="宋体"/>
                <w:b w:val="0"/>
                <w:i w:val="0"/>
                <w:color w:val="000000"/>
                <w:sz w:val="13"/>
              </w:rPr>
              <w:t xml:space="preserve">56.60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22.97</w:t>
            </w:r>
          </w:p>
        </w:tc>
        <w:tc>
          <w:tcPr>
            <w:tcW w:w="960" w:type="dxa"/>
            <w:tcBorders/>
            <w:vAlign w:val="center"/>
          </w:tcPr>
          <w:p>
            <w:pPr>
              <w:jc w:val="right"/>
            </w:pPr>
            <w:r>
              <w:rPr>
                <w:rFonts w:ascii="宋体" w:eastAsia="宋体" w:hAnsi="宋体" w:cs="宋体"/>
                <w:b w:val="0"/>
                <w:i w:val="0"/>
                <w:color w:val="000000"/>
                <w:sz w:val="13"/>
              </w:rPr>
              <w:t xml:space="preserve">22.97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jc w:val="right"/>
            </w:pPr>
            <w:r>
              <w:rPr>
                <w:rFonts w:ascii="宋体" w:eastAsia="宋体" w:hAnsi="宋体" w:cs="宋体"/>
                <w:b w:val="0"/>
                <w:i w:val="0"/>
                <w:color w:val="000000"/>
                <w:sz w:val="13"/>
              </w:rPr>
              <w:t xml:space="preserve">4.22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jc w:val="right"/>
            </w:pPr>
            <w:r>
              <w:rPr>
                <w:rFonts w:ascii="宋体" w:eastAsia="宋体" w:hAnsi="宋体" w:cs="宋体"/>
                <w:b w:val="0"/>
                <w:i w:val="0"/>
                <w:color w:val="000000"/>
                <w:sz w:val="13"/>
              </w:rPr>
              <w:t xml:space="preserve">22.68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636.19</w:t>
            </w:r>
          </w:p>
        </w:tc>
        <w:tc>
          <w:tcPr>
            <w:tcW w:w="960" w:type="dxa"/>
            <w:tcBorders/>
            <w:vAlign w:val="center"/>
          </w:tcPr>
          <w:p>
            <w:pPr>
              <w:jc w:val="right"/>
            </w:pPr>
            <w:r>
              <w:rPr>
                <w:rFonts w:ascii="宋体" w:eastAsia="宋体" w:hAnsi="宋体" w:cs="宋体"/>
                <w:b w:val="0"/>
                <w:i w:val="0"/>
                <w:color w:val="000000"/>
                <w:sz w:val="13"/>
              </w:rPr>
              <w:t xml:space="preserve">636.19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446.76</w:t>
            </w:r>
          </w:p>
        </w:tc>
        <w:tc>
          <w:tcPr>
            <w:tcW w:w="960" w:type="dxa"/>
            <w:tcBorders/>
            <w:vAlign w:val="center"/>
          </w:tcPr>
          <w:p>
            <w:pPr>
              <w:jc w:val="right"/>
            </w:pPr>
            <w:r>
              <w:rPr>
                <w:rFonts w:ascii="宋体" w:eastAsia="宋体" w:hAnsi="宋体" w:cs="宋体"/>
                <w:b w:val="0"/>
                <w:i w:val="0"/>
                <w:color w:val="000000"/>
                <w:sz w:val="13"/>
              </w:rPr>
              <w:t xml:space="preserve">446.76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446.76</w:t>
            </w:r>
          </w:p>
        </w:tc>
        <w:tc>
          <w:tcPr>
            <w:tcW w:w="960" w:type="dxa"/>
            <w:tcBorders/>
            <w:vAlign w:val="center"/>
          </w:tcPr>
          <w:p>
            <w:pPr>
              <w:jc w:val="right"/>
            </w:pPr>
            <w:r>
              <w:rPr>
                <w:rFonts w:ascii="宋体" w:eastAsia="宋体" w:hAnsi="宋体" w:cs="宋体"/>
                <w:b w:val="0"/>
                <w:i w:val="0"/>
                <w:color w:val="000000"/>
                <w:sz w:val="13"/>
              </w:rPr>
              <w:t xml:space="preserve">446.76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189.43</w:t>
            </w:r>
          </w:p>
        </w:tc>
        <w:tc>
          <w:tcPr>
            <w:tcW w:w="960" w:type="dxa"/>
            <w:tcBorders/>
            <w:vAlign w:val="center"/>
          </w:tcPr>
          <w:p>
            <w:pPr>
              <w:jc w:val="right"/>
            </w:pPr>
            <w:r>
              <w:rPr>
                <w:rFonts w:ascii="宋体" w:eastAsia="宋体" w:hAnsi="宋体" w:cs="宋体"/>
                <w:b w:val="0"/>
                <w:i w:val="0"/>
                <w:color w:val="000000"/>
                <w:sz w:val="13"/>
              </w:rPr>
              <w:t xml:space="preserve">189.43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189.43</w:t>
            </w:r>
          </w:p>
        </w:tc>
        <w:tc>
          <w:tcPr>
            <w:tcW w:w="960" w:type="dxa"/>
            <w:tcBorders/>
            <w:vAlign w:val="center"/>
          </w:tcPr>
          <w:p>
            <w:pPr>
              <w:jc w:val="right"/>
            </w:pPr>
            <w:r>
              <w:rPr>
                <w:rFonts w:ascii="宋体" w:eastAsia="宋体" w:hAnsi="宋体" w:cs="宋体"/>
                <w:b w:val="0"/>
                <w:i w:val="0"/>
                <w:color w:val="000000"/>
                <w:sz w:val="13"/>
              </w:rPr>
              <w:t xml:space="preserve">189.43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1,662.96</w:t>
            </w:r>
          </w:p>
        </w:tc>
        <w:tc>
          <w:tcPr>
            <w:tcW w:w="960" w:type="dxa"/>
            <w:tcBorders/>
            <w:vAlign w:val="center"/>
          </w:tcPr>
          <w:p>
            <w:pPr>
              <w:jc w:val="right"/>
            </w:pPr>
            <w:r>
              <w:rPr>
                <w:rFonts w:ascii="宋体" w:eastAsia="宋体" w:hAnsi="宋体" w:cs="宋体"/>
                <w:b w:val="0"/>
                <w:i w:val="0"/>
                <w:color w:val="000000"/>
                <w:sz w:val="13"/>
              </w:rPr>
              <w:t xml:space="preserve">1,662.96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w:t>
            </w:r>
          </w:p>
        </w:tc>
        <w:tc>
          <w:tcPr>
            <w:tcW w:w="3200" w:type="dxa"/>
            <w:tcBorders/>
            <w:vAlign w:val="center"/>
          </w:tcPr>
          <w:p>
            <w:pPr>
              <w:jc w:val="left"/>
            </w:pPr>
            <w:r>
              <w:rPr>
                <w:rFonts w:ascii="宋体" w:eastAsia="宋体" w:hAnsi="宋体" w:cs="宋体"/>
                <w:b w:val="0"/>
                <w:i w:val="0"/>
                <w:color w:val="000000"/>
                <w:sz w:val="13"/>
              </w:rPr>
              <w:t xml:space="preserve">保障性安居工程支出</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2210108</w:t>
            </w:r>
          </w:p>
        </w:tc>
        <w:tc>
          <w:tcPr>
            <w:tcW w:w="3200" w:type="dxa"/>
            <w:tcBorders/>
            <w:vAlign w:val="center"/>
          </w:tcPr>
          <w:p>
            <w:pPr>
              <w:jc w:val="left"/>
            </w:pPr>
            <w:r>
              <w:rPr>
                <w:rFonts w:ascii="宋体" w:eastAsia="宋体" w:hAnsi="宋体" w:cs="宋体"/>
                <w:b w:val="0"/>
                <w:i w:val="0"/>
                <w:color w:val="000000"/>
                <w:sz w:val="13"/>
              </w:rPr>
              <w:t xml:space="preserve">老旧小区改造</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jc w:val="right"/>
            </w:pPr>
            <w:r>
              <w:rPr>
                <w:rFonts w:ascii="宋体" w:eastAsia="宋体" w:hAnsi="宋体" w:cs="宋体"/>
                <w:b w:val="0"/>
                <w:i w:val="0"/>
                <w:color w:val="000000"/>
                <w:sz w:val="13"/>
              </w:rPr>
              <w:t xml:space="preserve">1,604.83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58.13</w:t>
            </w:r>
          </w:p>
        </w:tc>
        <w:tc>
          <w:tcPr>
            <w:tcW w:w="960" w:type="dxa"/>
            <w:tcBorders/>
            <w:vAlign w:val="center"/>
          </w:tcPr>
          <w:p>
            <w:pPr>
              <w:jc w:val="right"/>
            </w:pPr>
            <w:r>
              <w:rPr>
                <w:rFonts w:ascii="宋体" w:eastAsia="宋体" w:hAnsi="宋体" w:cs="宋体"/>
                <w:b w:val="0"/>
                <w:i w:val="0"/>
                <w:color w:val="000000"/>
                <w:sz w:val="13"/>
              </w:rPr>
              <w:t xml:space="preserve">58.13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58.13</w:t>
            </w:r>
          </w:p>
        </w:tc>
        <w:tc>
          <w:tcPr>
            <w:tcW w:w="960" w:type="dxa"/>
            <w:tcBorders/>
            <w:vAlign w:val="center"/>
          </w:tcPr>
          <w:p>
            <w:pPr>
              <w:jc w:val="right"/>
            </w:pPr>
            <w:r>
              <w:rPr>
                <w:rFonts w:ascii="宋体" w:eastAsia="宋体" w:hAnsi="宋体" w:cs="宋体"/>
                <w:b w:val="0"/>
                <w:i w:val="0"/>
                <w:color w:val="000000"/>
                <w:sz w:val="13"/>
              </w:rPr>
              <w:t xml:space="preserve">58.13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2,446.76</w:t>
            </w:r>
          </w:p>
        </w:tc>
        <w:tc>
          <w:tcPr>
            <w:tcW w:w="1060" w:type="dxa"/>
            <w:tcBorders/>
            <w:vAlign w:val="center"/>
          </w:tcPr>
          <w:p>
            <w:pPr>
              <w:jc w:val="right"/>
            </w:pPr>
            <w:r>
              <w:rPr>
                <w:rFonts w:ascii="宋体" w:eastAsia="宋体" w:hAnsi="宋体" w:cs="宋体"/>
                <w:b/>
                <w:i w:val="0"/>
                <w:color w:val="000000"/>
                <w:sz w:val="14"/>
              </w:rPr>
              <w:t xml:space="preserve">642.95</w:t>
            </w:r>
          </w:p>
        </w:tc>
        <w:tc>
          <w:tcPr>
            <w:tcW w:w="1060" w:type="dxa"/>
            <w:tcBorders/>
            <w:vAlign w:val="center"/>
          </w:tcPr>
          <w:p>
            <w:pPr>
              <w:jc w:val="right"/>
            </w:pPr>
            <w:r>
              <w:rPr>
                <w:rFonts w:ascii="宋体" w:eastAsia="宋体" w:hAnsi="宋体" w:cs="宋体"/>
                <w:b/>
                <w:i w:val="0"/>
                <w:color w:val="000000"/>
                <w:sz w:val="14"/>
              </w:rPr>
              <w:t xml:space="preserve">1,803.81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124.92</w:t>
            </w:r>
          </w:p>
        </w:tc>
        <w:tc>
          <w:tcPr>
            <w:tcW w:w="1060" w:type="dxa"/>
            <w:tcBorders/>
            <w:vAlign w:val="center"/>
          </w:tcPr>
          <w:p>
            <w:pPr>
              <w:jc w:val="right"/>
            </w:pPr>
            <w:r>
              <w:rPr>
                <w:rFonts w:ascii="宋体" w:eastAsia="宋体" w:hAnsi="宋体" w:cs="宋体"/>
                <w:b w:val="0"/>
                <w:i w:val="0"/>
                <w:color w:val="000000"/>
                <w:sz w:val="14"/>
              </w:rPr>
              <w:t xml:space="preserve">122.92</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120.70</w:t>
            </w:r>
          </w:p>
        </w:tc>
        <w:tc>
          <w:tcPr>
            <w:tcW w:w="1060" w:type="dxa"/>
            <w:tcBorders/>
            <w:vAlign w:val="center"/>
          </w:tcPr>
          <w:p>
            <w:pPr>
              <w:jc w:val="right"/>
            </w:pPr>
            <w:r>
              <w:rPr>
                <w:rFonts w:ascii="宋体" w:eastAsia="宋体" w:hAnsi="宋体" w:cs="宋体"/>
                <w:b w:val="0"/>
                <w:i w:val="0"/>
                <w:color w:val="000000"/>
                <w:sz w:val="14"/>
              </w:rPr>
              <w:t xml:space="preserve">120.70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41.13</w:t>
            </w:r>
          </w:p>
        </w:tc>
        <w:tc>
          <w:tcPr>
            <w:tcW w:w="1060" w:type="dxa"/>
            <w:tcBorders/>
            <w:vAlign w:val="center"/>
          </w:tcPr>
          <w:p>
            <w:pPr>
              <w:jc w:val="right"/>
            </w:pPr>
            <w:r>
              <w:rPr>
                <w:rFonts w:ascii="宋体" w:eastAsia="宋体" w:hAnsi="宋体" w:cs="宋体"/>
                <w:b w:val="0"/>
                <w:i w:val="0"/>
                <w:color w:val="000000"/>
                <w:sz w:val="14"/>
              </w:rPr>
              <w:t xml:space="preserve">41.13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56.60</w:t>
            </w:r>
          </w:p>
        </w:tc>
        <w:tc>
          <w:tcPr>
            <w:tcW w:w="1060" w:type="dxa"/>
            <w:tcBorders/>
            <w:vAlign w:val="center"/>
          </w:tcPr>
          <w:p>
            <w:pPr>
              <w:jc w:val="right"/>
            </w:pPr>
            <w:r>
              <w:rPr>
                <w:rFonts w:ascii="宋体" w:eastAsia="宋体" w:hAnsi="宋体" w:cs="宋体"/>
                <w:b w:val="0"/>
                <w:i w:val="0"/>
                <w:color w:val="000000"/>
                <w:sz w:val="14"/>
              </w:rPr>
              <w:t xml:space="preserve">56.60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22.97</w:t>
            </w:r>
          </w:p>
        </w:tc>
        <w:tc>
          <w:tcPr>
            <w:tcW w:w="1060" w:type="dxa"/>
            <w:tcBorders/>
            <w:vAlign w:val="center"/>
          </w:tcPr>
          <w:p>
            <w:pPr>
              <w:jc w:val="right"/>
            </w:pPr>
            <w:r>
              <w:rPr>
                <w:rFonts w:ascii="宋体" w:eastAsia="宋体" w:hAnsi="宋体" w:cs="宋体"/>
                <w:b w:val="0"/>
                <w:i w:val="0"/>
                <w:color w:val="000000"/>
                <w:sz w:val="14"/>
              </w:rPr>
              <w:t xml:space="preserve">22.97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jc w:val="right"/>
            </w:pPr>
            <w:r>
              <w:rPr>
                <w:rFonts w:ascii="宋体" w:eastAsia="宋体" w:hAnsi="宋体" w:cs="宋体"/>
                <w:b w:val="0"/>
                <w:i w:val="0"/>
                <w:color w:val="000000"/>
                <w:sz w:val="14"/>
              </w:rPr>
              <w:t xml:space="preserve">2.22</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jc w:val="right"/>
            </w:pPr>
            <w:r>
              <w:rPr>
                <w:rFonts w:ascii="宋体" w:eastAsia="宋体" w:hAnsi="宋体" w:cs="宋体"/>
                <w:b w:val="0"/>
                <w:i w:val="0"/>
                <w:color w:val="000000"/>
                <w:sz w:val="14"/>
              </w:rPr>
              <w:t xml:space="preserve">2.22</w:t>
            </w:r>
          </w:p>
        </w:tc>
        <w:tc>
          <w:tcPr>
            <w:tcW w:w="1060" w:type="dxa"/>
            <w:tcBorders/>
            <w:vAlign w:val="center"/>
          </w:tcPr>
          <w:p>
            <w:pPr>
              <w:jc w:val="right"/>
            </w:pPr>
            <w:r>
              <w:rPr>
                <w:rFonts w:ascii="宋体" w:eastAsia="宋体" w:hAnsi="宋体" w:cs="宋体"/>
                <w:b w:val="0"/>
                <w:i w:val="0"/>
                <w:color w:val="000000"/>
                <w:sz w:val="14"/>
              </w:rPr>
              <w:t xml:space="preserve">2.00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jc w:val="right"/>
            </w:pPr>
            <w:r>
              <w:rPr>
                <w:rFonts w:ascii="宋体" w:eastAsia="宋体" w:hAnsi="宋体" w:cs="宋体"/>
                <w:b w:val="0"/>
                <w:i w:val="0"/>
                <w:color w:val="000000"/>
                <w:sz w:val="14"/>
              </w:rPr>
              <w:t xml:space="preserve">22.68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636.19</w:t>
            </w:r>
          </w:p>
        </w:tc>
        <w:tc>
          <w:tcPr>
            <w:tcW w:w="1060" w:type="dxa"/>
            <w:tcBorders/>
            <w:vAlign w:val="center"/>
          </w:tcPr>
          <w:p>
            <w:pPr>
              <w:jc w:val="right"/>
            </w:pPr>
            <w:r>
              <w:rPr>
                <w:rFonts w:ascii="宋体" w:eastAsia="宋体" w:hAnsi="宋体" w:cs="宋体"/>
                <w:b w:val="0"/>
                <w:i w:val="0"/>
                <w:color w:val="000000"/>
                <w:sz w:val="14"/>
              </w:rPr>
              <w:t xml:space="preserve">439.22</w:t>
            </w:r>
          </w:p>
        </w:tc>
        <w:tc>
          <w:tcPr>
            <w:tcW w:w="1060" w:type="dxa"/>
            <w:tcBorders/>
            <w:vAlign w:val="center"/>
          </w:tcPr>
          <w:p>
            <w:pPr>
              <w:jc w:val="right"/>
            </w:pPr>
            <w:r>
              <w:rPr>
                <w:rFonts w:ascii="宋体" w:eastAsia="宋体" w:hAnsi="宋体" w:cs="宋体"/>
                <w:b w:val="0"/>
                <w:i w:val="0"/>
                <w:color w:val="000000"/>
                <w:sz w:val="14"/>
              </w:rPr>
              <w:t xml:space="preserve">196.98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446.76</w:t>
            </w:r>
          </w:p>
        </w:tc>
        <w:tc>
          <w:tcPr>
            <w:tcW w:w="1060" w:type="dxa"/>
            <w:tcBorders/>
            <w:vAlign w:val="center"/>
          </w:tcPr>
          <w:p>
            <w:pPr>
              <w:jc w:val="right"/>
            </w:pPr>
            <w:r>
              <w:rPr>
                <w:rFonts w:ascii="宋体" w:eastAsia="宋体" w:hAnsi="宋体" w:cs="宋体"/>
                <w:b w:val="0"/>
                <w:i w:val="0"/>
                <w:color w:val="000000"/>
                <w:sz w:val="14"/>
              </w:rPr>
              <w:t xml:space="preserve">439.22</w:t>
            </w:r>
          </w:p>
        </w:tc>
        <w:tc>
          <w:tcPr>
            <w:tcW w:w="1060" w:type="dxa"/>
            <w:tcBorders/>
            <w:vAlign w:val="center"/>
          </w:tcPr>
          <w:p>
            <w:pPr>
              <w:jc w:val="right"/>
            </w:pPr>
            <w:r>
              <w:rPr>
                <w:rFonts w:ascii="宋体" w:eastAsia="宋体" w:hAnsi="宋体" w:cs="宋体"/>
                <w:b w:val="0"/>
                <w:i w:val="0"/>
                <w:color w:val="000000"/>
                <w:sz w:val="14"/>
              </w:rPr>
              <w:t xml:space="preserve">7.55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446.76</w:t>
            </w:r>
          </w:p>
        </w:tc>
        <w:tc>
          <w:tcPr>
            <w:tcW w:w="1060" w:type="dxa"/>
            <w:tcBorders/>
            <w:vAlign w:val="center"/>
          </w:tcPr>
          <w:p>
            <w:pPr>
              <w:jc w:val="right"/>
            </w:pPr>
            <w:r>
              <w:rPr>
                <w:rFonts w:ascii="宋体" w:eastAsia="宋体" w:hAnsi="宋体" w:cs="宋体"/>
                <w:b w:val="0"/>
                <w:i w:val="0"/>
                <w:color w:val="000000"/>
                <w:sz w:val="14"/>
              </w:rPr>
              <w:t xml:space="preserve">439.22</w:t>
            </w:r>
          </w:p>
        </w:tc>
        <w:tc>
          <w:tcPr>
            <w:tcW w:w="1060" w:type="dxa"/>
            <w:tcBorders/>
            <w:vAlign w:val="center"/>
          </w:tcPr>
          <w:p>
            <w:pPr>
              <w:jc w:val="right"/>
            </w:pPr>
            <w:r>
              <w:rPr>
                <w:rFonts w:ascii="宋体" w:eastAsia="宋体" w:hAnsi="宋体" w:cs="宋体"/>
                <w:b w:val="0"/>
                <w:i w:val="0"/>
                <w:color w:val="000000"/>
                <w:sz w:val="14"/>
              </w:rPr>
              <w:t xml:space="preserve">7.55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189.43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189.43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189.43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189.43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1,662.96</w:t>
            </w:r>
          </w:p>
        </w:tc>
        <w:tc>
          <w:tcPr>
            <w:tcW w:w="1060" w:type="dxa"/>
            <w:tcBorders/>
            <w:vAlign w:val="center"/>
          </w:tcPr>
          <w:p>
            <w:pPr>
              <w:jc w:val="right"/>
            </w:pPr>
            <w:r>
              <w:rPr>
                <w:rFonts w:ascii="宋体" w:eastAsia="宋体" w:hAnsi="宋体" w:cs="宋体"/>
                <w:b w:val="0"/>
                <w:i w:val="0"/>
                <w:color w:val="000000"/>
                <w:sz w:val="14"/>
              </w:rPr>
              <w:t xml:space="preserve">58.13</w:t>
            </w: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w:t>
            </w:r>
          </w:p>
        </w:tc>
        <w:tc>
          <w:tcPr>
            <w:tcW w:w="3440" w:type="dxa"/>
            <w:tcBorders/>
            <w:vAlign w:val="center"/>
          </w:tcPr>
          <w:p>
            <w:pPr>
              <w:jc w:val="left"/>
            </w:pPr>
            <w:r>
              <w:rPr>
                <w:rFonts w:ascii="宋体" w:eastAsia="宋体" w:hAnsi="宋体" w:cs="宋体"/>
                <w:b w:val="0"/>
                <w:i w:val="0"/>
                <w:color w:val="000000"/>
                <w:sz w:val="14"/>
              </w:rPr>
              <w:t xml:space="preserve">保障性安居工程支出</w:t>
            </w: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2210108</w:t>
            </w:r>
          </w:p>
        </w:tc>
        <w:tc>
          <w:tcPr>
            <w:tcW w:w="3440" w:type="dxa"/>
            <w:tcBorders/>
            <w:vAlign w:val="center"/>
          </w:tcPr>
          <w:p>
            <w:pPr>
              <w:jc w:val="left"/>
            </w:pPr>
            <w:r>
              <w:rPr>
                <w:rFonts w:ascii="宋体" w:eastAsia="宋体" w:hAnsi="宋体" w:cs="宋体"/>
                <w:b w:val="0"/>
                <w:i w:val="0"/>
                <w:color w:val="000000"/>
                <w:sz w:val="14"/>
              </w:rPr>
              <w:t xml:space="preserve">老旧小区改造</w:t>
            </w: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1,604.83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58.13</w:t>
            </w:r>
          </w:p>
        </w:tc>
        <w:tc>
          <w:tcPr>
            <w:tcW w:w="1060" w:type="dxa"/>
            <w:tcBorders/>
            <w:vAlign w:val="center"/>
          </w:tcPr>
          <w:p>
            <w:pPr>
              <w:jc w:val="right"/>
            </w:pPr>
            <w:r>
              <w:rPr>
                <w:rFonts w:ascii="宋体" w:eastAsia="宋体" w:hAnsi="宋体" w:cs="宋体"/>
                <w:b w:val="0"/>
                <w:i w:val="0"/>
                <w:color w:val="000000"/>
                <w:sz w:val="14"/>
              </w:rPr>
              <w:t xml:space="preserve">58.13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58.13</w:t>
            </w:r>
          </w:p>
        </w:tc>
        <w:tc>
          <w:tcPr>
            <w:tcW w:w="1060" w:type="dxa"/>
            <w:tcBorders/>
            <w:vAlign w:val="center"/>
          </w:tcPr>
          <w:p>
            <w:pPr>
              <w:jc w:val="right"/>
            </w:pPr>
            <w:r>
              <w:rPr>
                <w:rFonts w:ascii="宋体" w:eastAsia="宋体" w:hAnsi="宋体" w:cs="宋体"/>
                <w:b w:val="0"/>
                <w:i w:val="0"/>
                <w:color w:val="000000"/>
                <w:sz w:val="14"/>
              </w:rPr>
              <w:t xml:space="preserve">58.13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124.92</w:t>
            </w:r>
          </w:p>
        </w:tc>
        <w:tc>
          <w:tcPr>
            <w:tcW w:w="1100" w:type="dxa"/>
            <w:tcBorders/>
            <w:vAlign w:val="center"/>
          </w:tcPr>
          <w:p>
            <w:pPr>
              <w:jc w:val="right"/>
            </w:pPr>
            <w:r>
              <w:rPr>
                <w:rFonts w:ascii="宋体" w:eastAsia="宋体" w:hAnsi="宋体" w:cs="宋体"/>
                <w:b w:val="0"/>
                <w:i w:val="0"/>
                <w:color w:val="000000"/>
                <w:sz w:val="14"/>
              </w:rPr>
              <w:t xml:space="preserve">124.92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22.68</w:t>
            </w:r>
          </w:p>
        </w:tc>
        <w:tc>
          <w:tcPr>
            <w:tcW w:w="1100" w:type="dxa"/>
            <w:tcBorders/>
            <w:vAlign w:val="center"/>
          </w:tcPr>
          <w:p>
            <w:pPr>
              <w:jc w:val="right"/>
            </w:pPr>
            <w:r>
              <w:rPr>
                <w:rFonts w:ascii="宋体" w:eastAsia="宋体" w:hAnsi="宋体" w:cs="宋体"/>
                <w:b w:val="0"/>
                <w:i w:val="0"/>
                <w:color w:val="000000"/>
                <w:sz w:val="14"/>
              </w:rPr>
              <w:t xml:space="preserve">22.68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636.19</w:t>
            </w:r>
          </w:p>
        </w:tc>
        <w:tc>
          <w:tcPr>
            <w:tcW w:w="1100" w:type="dxa"/>
            <w:tcBorders/>
            <w:vAlign w:val="center"/>
          </w:tcPr>
          <w:p>
            <w:pPr>
              <w:jc w:val="right"/>
            </w:pPr>
            <w:r>
              <w:rPr>
                <w:rFonts w:ascii="宋体" w:eastAsia="宋体" w:hAnsi="宋体" w:cs="宋体"/>
                <w:b w:val="0"/>
                <w:i w:val="0"/>
                <w:color w:val="000000"/>
                <w:sz w:val="14"/>
              </w:rPr>
              <w:t xml:space="preserve">636.19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1,662.96</w:t>
            </w:r>
          </w:p>
        </w:tc>
        <w:tc>
          <w:tcPr>
            <w:tcW w:w="1100" w:type="dxa"/>
            <w:tcBorders/>
            <w:vAlign w:val="center"/>
          </w:tcPr>
          <w:p>
            <w:pPr>
              <w:jc w:val="right"/>
            </w:pPr>
            <w:r>
              <w:rPr>
                <w:rFonts w:ascii="宋体" w:eastAsia="宋体" w:hAnsi="宋体" w:cs="宋体"/>
                <w:b w:val="0"/>
                <w:i w:val="0"/>
                <w:color w:val="000000"/>
                <w:sz w:val="14"/>
              </w:rPr>
              <w:t xml:space="preserve">1,662.96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1100" w:type="dxa"/>
            <w:tcBorders/>
            <w:vAlign w:val="center"/>
          </w:tcPr>
          <w:p>
            <w:pPr>
              <w:jc w:val="right"/>
            </w:pPr>
            <w:r>
              <w:rPr>
                <w:rFonts w:ascii="宋体" w:eastAsia="宋体" w:hAnsi="宋体" w:cs="宋体"/>
                <w:b w:val="0"/>
                <w:i w:val="0"/>
                <w:color w:val="000000"/>
                <w:sz w:val="14"/>
              </w:rPr>
              <w:t xml:space="preserve">2,446.76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2,446.76</w:t>
            </w:r>
          </w:p>
        </w:tc>
        <w:tc>
          <w:tcPr>
            <w:tcW w:w="1780" w:type="dxa"/>
            <w:tcBorders/>
            <w:vAlign w:val="center"/>
          </w:tcPr>
          <w:p>
            <w:pPr>
              <w:jc w:val="right"/>
            </w:pPr>
            <w:r>
              <w:rPr>
                <w:rFonts w:ascii="宋体" w:eastAsia="宋体" w:hAnsi="宋体" w:cs="宋体"/>
                <w:b/>
                <w:i w:val="0"/>
                <w:color w:val="000000"/>
                <w:sz w:val="18"/>
              </w:rPr>
              <w:t xml:space="preserve">642.95</w:t>
            </w:r>
          </w:p>
        </w:tc>
        <w:tc>
          <w:tcPr>
            <w:tcW w:w="1772" w:type="dxa"/>
            <w:tcBorders/>
            <w:vAlign w:val="center"/>
          </w:tcPr>
          <w:p>
            <w:pPr>
              <w:jc w:val="right"/>
            </w:pPr>
            <w:r>
              <w:rPr>
                <w:rFonts w:ascii="宋体" w:eastAsia="宋体" w:hAnsi="宋体" w:cs="宋体"/>
                <w:b/>
                <w:i w:val="0"/>
                <w:color w:val="000000"/>
                <w:sz w:val="18"/>
              </w:rPr>
              <w:t xml:space="preserve">1,803.81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124.92</w:t>
            </w:r>
          </w:p>
        </w:tc>
        <w:tc>
          <w:tcPr>
            <w:tcW w:w="1780" w:type="dxa"/>
            <w:tcBorders/>
            <w:vAlign w:val="center"/>
          </w:tcPr>
          <w:p>
            <w:pPr>
              <w:jc w:val="right"/>
            </w:pPr>
            <w:r>
              <w:rPr>
                <w:rFonts w:ascii="宋体" w:eastAsia="宋体" w:hAnsi="宋体" w:cs="宋体"/>
                <w:b w:val="0"/>
                <w:i w:val="0"/>
                <w:color w:val="000000"/>
                <w:sz w:val="18"/>
              </w:rPr>
              <w:t xml:space="preserve">122.92</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120.70</w:t>
            </w:r>
          </w:p>
        </w:tc>
        <w:tc>
          <w:tcPr>
            <w:tcW w:w="1780" w:type="dxa"/>
            <w:tcBorders/>
            <w:vAlign w:val="center"/>
          </w:tcPr>
          <w:p>
            <w:pPr>
              <w:jc w:val="right"/>
            </w:pPr>
            <w:r>
              <w:rPr>
                <w:rFonts w:ascii="宋体" w:eastAsia="宋体" w:hAnsi="宋体" w:cs="宋体"/>
                <w:b w:val="0"/>
                <w:i w:val="0"/>
                <w:color w:val="000000"/>
                <w:sz w:val="18"/>
              </w:rPr>
              <w:t xml:space="preserve">120.70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41.13</w:t>
            </w:r>
          </w:p>
        </w:tc>
        <w:tc>
          <w:tcPr>
            <w:tcW w:w="1780" w:type="dxa"/>
            <w:tcBorders/>
            <w:vAlign w:val="center"/>
          </w:tcPr>
          <w:p>
            <w:pPr>
              <w:jc w:val="right"/>
            </w:pPr>
            <w:r>
              <w:rPr>
                <w:rFonts w:ascii="宋体" w:eastAsia="宋体" w:hAnsi="宋体" w:cs="宋体"/>
                <w:b w:val="0"/>
                <w:i w:val="0"/>
                <w:color w:val="000000"/>
                <w:sz w:val="18"/>
              </w:rPr>
              <w:t xml:space="preserve">41.13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56.60</w:t>
            </w:r>
          </w:p>
        </w:tc>
        <w:tc>
          <w:tcPr>
            <w:tcW w:w="1780" w:type="dxa"/>
            <w:tcBorders/>
            <w:vAlign w:val="center"/>
          </w:tcPr>
          <w:p>
            <w:pPr>
              <w:jc w:val="right"/>
            </w:pPr>
            <w:r>
              <w:rPr>
                <w:rFonts w:ascii="宋体" w:eastAsia="宋体" w:hAnsi="宋体" w:cs="宋体"/>
                <w:b w:val="0"/>
                <w:i w:val="0"/>
                <w:color w:val="000000"/>
                <w:sz w:val="18"/>
              </w:rPr>
              <w:t xml:space="preserve">56.60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22.97</w:t>
            </w:r>
          </w:p>
        </w:tc>
        <w:tc>
          <w:tcPr>
            <w:tcW w:w="1780" w:type="dxa"/>
            <w:tcBorders/>
            <w:vAlign w:val="center"/>
          </w:tcPr>
          <w:p>
            <w:pPr>
              <w:jc w:val="right"/>
            </w:pPr>
            <w:r>
              <w:rPr>
                <w:rFonts w:ascii="宋体" w:eastAsia="宋体" w:hAnsi="宋体" w:cs="宋体"/>
                <w:b w:val="0"/>
                <w:i w:val="0"/>
                <w:color w:val="000000"/>
                <w:sz w:val="18"/>
              </w:rPr>
              <w:t xml:space="preserve">22.97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4.22</w:t>
            </w:r>
          </w:p>
        </w:tc>
        <w:tc>
          <w:tcPr>
            <w:tcW w:w="1780" w:type="dxa"/>
            <w:tcBorders/>
            <w:vAlign w:val="center"/>
          </w:tcPr>
          <w:p>
            <w:pPr>
              <w:jc w:val="right"/>
            </w:pPr>
            <w:r>
              <w:rPr>
                <w:rFonts w:ascii="宋体" w:eastAsia="宋体" w:hAnsi="宋体" w:cs="宋体"/>
                <w:b w:val="0"/>
                <w:i w:val="0"/>
                <w:color w:val="000000"/>
                <w:sz w:val="18"/>
              </w:rPr>
              <w:t xml:space="preserve">2.22</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4.22</w:t>
            </w:r>
          </w:p>
        </w:tc>
        <w:tc>
          <w:tcPr>
            <w:tcW w:w="1780" w:type="dxa"/>
            <w:tcBorders/>
            <w:vAlign w:val="center"/>
          </w:tcPr>
          <w:p>
            <w:pPr>
              <w:jc w:val="right"/>
            </w:pPr>
            <w:r>
              <w:rPr>
                <w:rFonts w:ascii="宋体" w:eastAsia="宋体" w:hAnsi="宋体" w:cs="宋体"/>
                <w:b w:val="0"/>
                <w:i w:val="0"/>
                <w:color w:val="000000"/>
                <w:sz w:val="18"/>
              </w:rPr>
              <w:t xml:space="preserve">2.22</w:t>
            </w:r>
          </w:p>
        </w:tc>
        <w:tc>
          <w:tcPr>
            <w:tcW w:w="1772" w:type="dxa"/>
            <w:tcBorders/>
            <w:vAlign w:val="center"/>
          </w:tcPr>
          <w:p>
            <w:pPr>
              <w:jc w:val="right"/>
            </w:pPr>
            <w:r>
              <w:rPr>
                <w:rFonts w:ascii="宋体" w:eastAsia="宋体" w:hAnsi="宋体" w:cs="宋体"/>
                <w:b w:val="0"/>
                <w:i w:val="0"/>
                <w:color w:val="000000"/>
                <w:sz w:val="18"/>
              </w:rPr>
              <w:t xml:space="preserve">2.00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80" w:type="dxa"/>
            <w:tcBorders/>
            <w:vAlign w:val="center"/>
          </w:tcPr>
          <w:p>
            <w:pPr>
              <w:jc w:val="right"/>
            </w:pPr>
            <w:r>
              <w:rPr>
                <w:rFonts w:ascii="宋体" w:eastAsia="宋体" w:hAnsi="宋体" w:cs="宋体"/>
                <w:b w:val="0"/>
                <w:i w:val="0"/>
                <w:color w:val="000000"/>
                <w:sz w:val="18"/>
              </w:rPr>
              <w:t xml:space="preserve">22.68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636.19</w:t>
            </w:r>
          </w:p>
        </w:tc>
        <w:tc>
          <w:tcPr>
            <w:tcW w:w="1780" w:type="dxa"/>
            <w:tcBorders/>
            <w:vAlign w:val="center"/>
          </w:tcPr>
          <w:p>
            <w:pPr>
              <w:jc w:val="right"/>
            </w:pPr>
            <w:r>
              <w:rPr>
                <w:rFonts w:ascii="宋体" w:eastAsia="宋体" w:hAnsi="宋体" w:cs="宋体"/>
                <w:b w:val="0"/>
                <w:i w:val="0"/>
                <w:color w:val="000000"/>
                <w:sz w:val="18"/>
              </w:rPr>
              <w:t xml:space="preserve">439.22</w:t>
            </w:r>
          </w:p>
        </w:tc>
        <w:tc>
          <w:tcPr>
            <w:tcW w:w="1772" w:type="dxa"/>
            <w:tcBorders/>
            <w:vAlign w:val="center"/>
          </w:tcPr>
          <w:p>
            <w:pPr>
              <w:jc w:val="right"/>
            </w:pPr>
            <w:r>
              <w:rPr>
                <w:rFonts w:ascii="宋体" w:eastAsia="宋体" w:hAnsi="宋体" w:cs="宋体"/>
                <w:b w:val="0"/>
                <w:i w:val="0"/>
                <w:color w:val="000000"/>
                <w:sz w:val="18"/>
              </w:rPr>
              <w:t xml:space="preserve">196.98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446.76</w:t>
            </w:r>
          </w:p>
        </w:tc>
        <w:tc>
          <w:tcPr>
            <w:tcW w:w="1780" w:type="dxa"/>
            <w:tcBorders/>
            <w:vAlign w:val="center"/>
          </w:tcPr>
          <w:p>
            <w:pPr>
              <w:jc w:val="right"/>
            </w:pPr>
            <w:r>
              <w:rPr>
                <w:rFonts w:ascii="宋体" w:eastAsia="宋体" w:hAnsi="宋体" w:cs="宋体"/>
                <w:b w:val="0"/>
                <w:i w:val="0"/>
                <w:color w:val="000000"/>
                <w:sz w:val="18"/>
              </w:rPr>
              <w:t xml:space="preserve">439.22</w:t>
            </w:r>
          </w:p>
        </w:tc>
        <w:tc>
          <w:tcPr>
            <w:tcW w:w="1772" w:type="dxa"/>
            <w:tcBorders/>
            <w:vAlign w:val="center"/>
          </w:tcPr>
          <w:p>
            <w:pPr>
              <w:jc w:val="right"/>
            </w:pPr>
            <w:r>
              <w:rPr>
                <w:rFonts w:ascii="宋体" w:eastAsia="宋体" w:hAnsi="宋体" w:cs="宋体"/>
                <w:b w:val="0"/>
                <w:i w:val="0"/>
                <w:color w:val="000000"/>
                <w:sz w:val="18"/>
              </w:rPr>
              <w:t xml:space="preserve">7.55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446.76</w:t>
            </w:r>
          </w:p>
        </w:tc>
        <w:tc>
          <w:tcPr>
            <w:tcW w:w="1780" w:type="dxa"/>
            <w:tcBorders/>
            <w:vAlign w:val="center"/>
          </w:tcPr>
          <w:p>
            <w:pPr>
              <w:jc w:val="right"/>
            </w:pPr>
            <w:r>
              <w:rPr>
                <w:rFonts w:ascii="宋体" w:eastAsia="宋体" w:hAnsi="宋体" w:cs="宋体"/>
                <w:b w:val="0"/>
                <w:i w:val="0"/>
                <w:color w:val="000000"/>
                <w:sz w:val="18"/>
              </w:rPr>
              <w:t xml:space="preserve">439.22</w:t>
            </w:r>
          </w:p>
        </w:tc>
        <w:tc>
          <w:tcPr>
            <w:tcW w:w="1772" w:type="dxa"/>
            <w:tcBorders/>
            <w:vAlign w:val="center"/>
          </w:tcPr>
          <w:p>
            <w:pPr>
              <w:jc w:val="right"/>
            </w:pPr>
            <w:r>
              <w:rPr>
                <w:rFonts w:ascii="宋体" w:eastAsia="宋体" w:hAnsi="宋体" w:cs="宋体"/>
                <w:b w:val="0"/>
                <w:i w:val="0"/>
                <w:color w:val="000000"/>
                <w:sz w:val="18"/>
              </w:rPr>
              <w:t xml:space="preserve">7.55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189.43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189.43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189.43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189.43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1,662.96</w:t>
            </w:r>
          </w:p>
        </w:tc>
        <w:tc>
          <w:tcPr>
            <w:tcW w:w="1780" w:type="dxa"/>
            <w:tcBorders/>
            <w:vAlign w:val="center"/>
          </w:tcPr>
          <w:p>
            <w:pPr>
              <w:jc w:val="right"/>
            </w:pPr>
            <w:r>
              <w:rPr>
                <w:rFonts w:ascii="宋体" w:eastAsia="宋体" w:hAnsi="宋体" w:cs="宋体"/>
                <w:b w:val="0"/>
                <w:i w:val="0"/>
                <w:color w:val="000000"/>
                <w:sz w:val="18"/>
              </w:rPr>
              <w:t xml:space="preserve">58.13</w:t>
            </w:r>
          </w:p>
        </w:tc>
        <w:tc>
          <w:tcPr>
            <w:tcW w:w="1772" w:type="dxa"/>
            <w:tcBorders/>
            <w:vAlign w:val="center"/>
          </w:tcPr>
          <w:p>
            <w:pPr>
              <w:jc w:val="right"/>
            </w:pPr>
            <w:r>
              <w:rPr>
                <w:rFonts w:ascii="宋体" w:eastAsia="宋体" w:hAnsi="宋体" w:cs="宋体"/>
                <w:b w:val="0"/>
                <w:i w:val="0"/>
                <w:color w:val="000000"/>
                <w:sz w:val="18"/>
              </w:rPr>
              <w:t xml:space="preserve">1,604.83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w:t>
            </w:r>
          </w:p>
        </w:tc>
        <w:tc>
          <w:tcPr>
            <w:tcW w:w="4300" w:type="dxa"/>
            <w:tcBorders/>
            <w:vAlign w:val="center"/>
          </w:tcPr>
          <w:p>
            <w:pPr>
              <w:jc w:val="left"/>
            </w:pPr>
            <w:r>
              <w:rPr>
                <w:rFonts w:ascii="宋体" w:eastAsia="宋体" w:hAnsi="宋体" w:cs="宋体"/>
                <w:b w:val="0"/>
                <w:i w:val="0"/>
                <w:color w:val="000000"/>
                <w:sz w:val="18"/>
              </w:rPr>
              <w:t xml:space="preserve">保障性安居工程支出</w:t>
            </w:r>
          </w:p>
        </w:tc>
        <w:tc>
          <w:tcPr>
            <w:tcW w:w="1780" w:type="dxa"/>
            <w:tcBorders/>
            <w:vAlign w:val="center"/>
          </w:tcPr>
          <w:p>
            <w:pPr>
              <w:jc w:val="right"/>
            </w:pPr>
            <w:r>
              <w:rPr>
                <w:rFonts w:ascii="宋体" w:eastAsia="宋体" w:hAnsi="宋体" w:cs="宋体"/>
                <w:b w:val="0"/>
                <w:i w:val="0"/>
                <w:color w:val="000000"/>
                <w:sz w:val="18"/>
              </w:rPr>
              <w:t xml:space="preserve">1,604.83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1,604.83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2210108</w:t>
            </w:r>
          </w:p>
        </w:tc>
        <w:tc>
          <w:tcPr>
            <w:tcW w:w="4300" w:type="dxa"/>
            <w:tcBorders/>
            <w:vAlign w:val="center"/>
          </w:tcPr>
          <w:p>
            <w:pPr>
              <w:jc w:val="left"/>
            </w:pPr>
            <w:r>
              <w:rPr>
                <w:rFonts w:ascii="宋体" w:eastAsia="宋体" w:hAnsi="宋体" w:cs="宋体"/>
                <w:b w:val="0"/>
                <w:i w:val="0"/>
                <w:color w:val="000000"/>
                <w:sz w:val="18"/>
              </w:rPr>
              <w:t xml:space="preserve">老旧小区改造</w:t>
            </w:r>
          </w:p>
        </w:tc>
        <w:tc>
          <w:tcPr>
            <w:tcW w:w="1780" w:type="dxa"/>
            <w:tcBorders/>
            <w:vAlign w:val="center"/>
          </w:tcPr>
          <w:p>
            <w:pPr>
              <w:jc w:val="right"/>
            </w:pPr>
            <w:r>
              <w:rPr>
                <w:rFonts w:ascii="宋体" w:eastAsia="宋体" w:hAnsi="宋体" w:cs="宋体"/>
                <w:b w:val="0"/>
                <w:i w:val="0"/>
                <w:color w:val="000000"/>
                <w:sz w:val="18"/>
              </w:rPr>
              <w:t xml:space="preserve">1,604.83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1,604.83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58.13</w:t>
            </w:r>
          </w:p>
        </w:tc>
        <w:tc>
          <w:tcPr>
            <w:tcW w:w="1780" w:type="dxa"/>
            <w:tcBorders/>
            <w:vAlign w:val="center"/>
          </w:tcPr>
          <w:p>
            <w:pPr>
              <w:jc w:val="right"/>
            </w:pPr>
            <w:r>
              <w:rPr>
                <w:rFonts w:ascii="宋体" w:eastAsia="宋体" w:hAnsi="宋体" w:cs="宋体"/>
                <w:b w:val="0"/>
                <w:i w:val="0"/>
                <w:color w:val="000000"/>
                <w:sz w:val="18"/>
              </w:rPr>
              <w:t xml:space="preserve">58.13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58.13</w:t>
            </w:r>
          </w:p>
        </w:tc>
        <w:tc>
          <w:tcPr>
            <w:tcW w:w="1780" w:type="dxa"/>
            <w:tcBorders/>
            <w:vAlign w:val="center"/>
          </w:tcPr>
          <w:p>
            <w:pPr>
              <w:jc w:val="right"/>
            </w:pPr>
            <w:r>
              <w:rPr>
                <w:rFonts w:ascii="宋体" w:eastAsia="宋体" w:hAnsi="宋体" w:cs="宋体"/>
                <w:b w:val="0"/>
                <w:i w:val="0"/>
                <w:color w:val="000000"/>
                <w:sz w:val="18"/>
              </w:rPr>
              <w:t xml:space="preserve">58.13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569.02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30.58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159.79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7.74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7.77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13.53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225.09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56.60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22.97</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19.24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22.68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2.46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58.13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43.35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18.64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21.59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3.12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3.47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612.37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30.58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单位：辽宁省沈阳市浑南区房产事务服务中心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通过开展专项偿债工作，督促有关方面抓紧制定实施还款工作计划，在规定时间内完成偿还工作。羲至2023年3月末我区政府拖欠企业账款（第一批）共计23.8 亿元，计划在2023年10月底前清偿到位。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各期本金偿还率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处置投诉举报问题的及时率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历史遗留工矿废弃地整治项目成本节约率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经办机构县级分支机构覆盖率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地方政府满意度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064002沈阳市浑南区房产事务服务中心-210112000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748.65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748.65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433.51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178.86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按照预期完成指标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经费保障:根据财政整体收支情况，统筹安排项目资金，本着过紧日子的原则，请预算单位根据工作实际需要，合理安排经费，提高财政资金使用效率。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864"/>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根据财政整体收支情况，统筹安排项目资金，本着过紧日子的原则，请预算单位根据工作实际需要，合理安排经费，提高财政资金使用效率。</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经费保障:根据财政整体收支情况，统筹安排项目资金，本着过紧日子的原则，请预算单位根据工作实际需要，合理安排经费，提高财政资金使用效率。</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信访问题处理率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城市公共供水管网漏损率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效果明显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99.30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高坎和满堂回迁房改造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建设工程是建成小康社会的一项具体民生举措，是切实解决群众最关心和最迫切需要解决的问题，是不断提高沈阳老百姓的幸福指数的民生工程，该项目的建设可以改善沈阳市老旧小区破损及老旧状态，改居民居住条件及环境，推进市容市貌水平的整体提升，促进沈阳市公共事业的持续健康发展。在沈阳市政府的统一组织下，将配套设施不全、居住环境差的旧住宅区逐步建设成设计合理、配套设施齐全、环境优美、管理有序的居住小区。创造了一个更宜居、更舒适、更便捷的生活环境，提升生活品质，增强了居民对社区的归属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改善小区居住环境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4类重点对象危房改造任务完成情况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棚户区改造开工目标完成率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改造后房屋验收合格率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房屋改造工程验收合格率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维修改造工程按合同规定时间完成的及时性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符合条件对象危房改造当年开工率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运升级改造成本控制率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改造工程政府采购率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工业增加值用水量下降率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农民群众参与农村公路管护增长率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工程款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建设工程是建成小康社会的一项具体民生举措，是切实解决群众最关心和最迫切需要解决的问题，是不断提高沈阳老百姓的幸福指数的民生工程，该项目的建设可以改善沈阳市老旧小区破损及老旧状态，改居民居住条件及环境，推进市容市貌水平的整体提升，促进沈阳市公共事业的持续健康发展。在沈阳市政府的统一组织下，将配套设施不全、居住环境差的旧住宅区逐步建设成设计合理、配套设施齐全、环境优美、管理有序的居住小区。创造了一个更宜居、更舒适、更便捷的生活环境，提升生活品质，增强了居民对社区的归属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改善旧住宅区居住环境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主体工程完工率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工程尾款支付完成率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工程竣工验收合格率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改造工程按期开工率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工程单位建设成本控制率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节省工程运行维护投资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工程符合省级环保要求比例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高职学校毕业生就业率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17.99561404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确保派遣人员经费正常运转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培养科技人才及团队数量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全科医生培养特岗招聘入编定岗率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实名制数据录入率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17.5719697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伤残抚恤补助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沈阳市浑南区房产事务服务中心-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符合发放条件的残疾人专职委员补贴发放率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救助标准发放准确率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