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辽宁省沈阳市浑南区发展改革促进中心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辽宁省沈阳市浑南区发展改革促进中心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辽宁省沈阳市浑南区发展改革促进中心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辽宁省沈阳市浑南区发展改革促进中心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辽宁省沈阳市浑南区发展改革促进中心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辽宁省沈阳市浑南区发展改革促进中心概况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浑南区发展改革促进中心是浑南区发展和改革局所属事业单位。主要职责是：</w:t>
        <w:br/>
        <w:t xml:space="preserve">    1.负责统筹全区重点项目综合管理工作，拟订促进全区重点项目发展和政策措施，负责结全区重点项目工作的宏观指导、综合协调、组织管理、监督检查和绩效考评等工作。</w:t>
        <w:br/>
        <w:t xml:space="preserve">    2.负责区公共资源交易综合协调和宏观管理、监督全区建设工程招投标活动、招标备案审核、投诉处理等相关服务工作。</w:t>
        <w:br/>
        <w:t xml:space="preserve">    3.负责对全区粮油质量检验、检测并出具检测报告。</w:t>
        <w:br/>
        <w:t xml:space="preserve">    4.按照国家、省、市相关政策法规要求，负责对纪检监察机关、公安司法机关等部门查办案件涉案财物进行价格认定工作。</w:t>
        <w:br/>
        <w:t xml:space="preserve">    5.完成区委、区政府及区发改局交办的其他任务。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辽宁省沈阳市浑南区发展改革促进中心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辽宁省沈阳市浑南区发展改革促进中心，本单位无下设机构。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157.23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157.23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157.23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增加66.34万元，增长72.98%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发展改革促进中心为2023年新成立的事业单位，4月开始产生费用，另由于本年度新增5人，费用相应增加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157.23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156.06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99.26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工资福利支出146.06万元；商品和服务支出8.96万元；对个人和家庭的补助1.04万元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0.74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增加66.34万元，增长72.98%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本年度新增5人及缴纳残疾人就业保障金，人员增加，费用相应增加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均未产生结转结余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157.23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156.06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增加66.34万元，增长72.98%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本年度新增5人及缴纳残疾人就业保障金，人员增加，费用相应增加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81.02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87.91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7.07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2024年度一般公共预算财政拨款支出157.23万元。按支出功能分类科目分，包括：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1.一般公共服务支出117.40万元，具体包括：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发展与改革事务（款）事业运行（项）116.23万元,主要是工资福利支出、商品和服务支出等支出，完成年初预算的85.63%，决算数与年初预算数存在差异的主要原因是资金紧张，缩减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（2）一般公共服务支出（类）发展与改革事务（款）其他发展与改革事务支出（项）1.17万元,主要是残疾人就业保障金等支出，完成年初预算的75.97%，决算数与年初预算数存在差异的主要原因是缩减经费。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2.社会保障和就业支出16.87万元，具体包括：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1.04万元,主要是退休人员采暖费等支出，完成年初预算的100%，决算数与年初预算数存在差异的主要原因是严格按照预算安排执行，与年初预算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15.83万元,主要是在职人员养老保险缴费等支出，完成年初预算的108.05%，决算数与年初预算数存在差异的主要原因是人员增加，费用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3.卫生健康支出7.49万元，具体包括：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（1）卫生健康支出（类）行政事业单位医疗（款）事业单位医疗（项）7.49万元,主要是在职人员医疗保险等支出，完成年初预算的132.33%，决算数与年初预算数存在差异的主要原因是人员增加，费用相应增加。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4.住房保障支出15.46万元，具体包括：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（1）住房保障支出（类）住房改革支出（款）住房公积金（项）15.46万元,主要是在职人员住房公积金等支出，完成年初预算的72.45%，决算数与年初预算数存在差异的主要原因是公积金基数调整。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无此项业务发生</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156.06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147.10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8.96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本部门为事业单位，不在机关运行经费统计范围内</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16.54万元。其中，一般公共预算资金16.54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0个；得分在80分（含）至90分、等级为良的项目有1个；得分在60分（含）至80分、等级为中的项目有0个；得分在60分以下、等级为差的项目有3个，各项目自评发现，部分项目存在经费紧张，资金不足，部分工作未及时开展，部分资金未足额拨付等问题，如：价格认证专家认证费和粮食粮油检测费等。</w:t>
        <w:br/>
        <w:t xml:space="preserve">    3.部门重点评价情况及结果。</w:t>
        <w:br/>
        <w:t xml:space="preserve">    在全面自评的基础上，本部门选取了1个资金量大、社会关注度高、具有代表性的重点项目实施了部门重点评价。评价工作能过组建评价小组方式进行。确保了评价结果的客观性和公平性。</w:t>
        <w:br/>
        <w:t xml:space="preserve">    我部门组织对1个项目重点评价，结果显示，被评价项目整体绩效情况良好。其中：第一个重点项目为残疾人就业保障金，涉及资金1.17万元，评价平均分为89分，评级情况为良。同时，评价也发现该项目存在问题，如：绩效指标设置不够细化、资金使用效益有待进一步提升等。针对评价发现有问题，我们已督促项目单位落实整改，并将评价结果作为下年度预算安排和政策调整的重要依据。</w:t>
        <w:br/>
        <w:t xml:space="preserve">    4.财政评价结果。上述项目总体执行情况符合预期，资金使用规范有效，绩效评价效果较好。同时，希望加强绩效指标细化设置、资金使用效益有待时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16.一般公共服务（类）发展与改革事务（款）事业运行（项）：反映事业单位的基本支出，不包括行政单位（包括实行公务员管理的事业单位）后勤服务中心、医务室等附属事业单位。</w:t>
        <w:br/>
        <w:t xml:space="preserve">    17.一般公共服务（类）发展与改革事务（款）其他发展与改革事务支出（项）：反映除上述项目以外的其他发展与改革事务支出。</w:t>
        <w:br/>
        <w:t xml:space="preserve">    18.社会保障和就业（类）行政事业单位养老（款）事业单位离退休（项）：反映事业单位开支的离退休经费。</w:t>
        <w:br/>
        <w:t xml:space="preserve">    19.社会保障和就业（类）行政事业单位养老（款）机关事业单位基本养老保险缴费支出：反映机关事业单位实施养老保险制度由单位缴纳的基本养老保险费支出。</w:t>
        <w:br/>
        <w:t xml:space="preserve">    20. 卫生健康支出（类）行政事业单位医疗（款）事业单位医疗（项）：反映财政部门安排的事业单位基本医疗保险缴费经费，未参加医疗保险的事业单位的公费医疗经费，按国家规定享受离休人员待遇的医疗经费。</w:t>
        <w:br/>
        <w:t xml:space="preserve">    21.住房保障（类）住房改革（款）住房公积金（项）：反映行政事业单位按人力资源和社会保障部、财政部规定的基本工资和津贴补贴以及规定比例为职工缴纳的住房公积金。</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157.23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117.40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16.87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7.49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15.46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157.23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157.23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157.23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157.23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157.23</w:t>
            </w:r>
          </w:p>
        </w:tc>
        <w:tc>
          <w:tcPr>
            <w:tcW w:w="960" w:type="dxa"/>
            <w:tcBorders/>
            <w:vAlign w:val="center"/>
          </w:tcPr>
          <w:p>
            <w:pPr>
              <w:jc w:val="right"/>
            </w:pPr>
            <w:r>
              <w:rPr>
                <w:rFonts w:ascii="宋体" w:eastAsia="宋体" w:hAnsi="宋体" w:cs="宋体"/>
                <w:b/>
                <w:i w:val="0"/>
                <w:color w:val="000000"/>
                <w:sz w:val="13"/>
              </w:rPr>
              <w:t xml:space="preserve">157.23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117.40</w:t>
            </w:r>
          </w:p>
        </w:tc>
        <w:tc>
          <w:tcPr>
            <w:tcW w:w="960" w:type="dxa"/>
            <w:tcBorders/>
            <w:vAlign w:val="center"/>
          </w:tcPr>
          <w:p>
            <w:pPr>
              <w:jc w:val="right"/>
            </w:pPr>
            <w:r>
              <w:rPr>
                <w:rFonts w:ascii="宋体" w:eastAsia="宋体" w:hAnsi="宋体" w:cs="宋体"/>
                <w:b w:val="0"/>
                <w:i w:val="0"/>
                <w:color w:val="000000"/>
                <w:sz w:val="13"/>
              </w:rPr>
              <w:t xml:space="preserve">117.40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w:t>
            </w:r>
          </w:p>
        </w:tc>
        <w:tc>
          <w:tcPr>
            <w:tcW w:w="3200" w:type="dxa"/>
            <w:tcBorders/>
            <w:vAlign w:val="center"/>
          </w:tcPr>
          <w:p>
            <w:pPr>
              <w:jc w:val="left"/>
            </w:pPr>
            <w:r>
              <w:rPr>
                <w:rFonts w:ascii="宋体" w:eastAsia="宋体" w:hAnsi="宋体" w:cs="宋体"/>
                <w:b w:val="0"/>
                <w:i w:val="0"/>
                <w:color w:val="000000"/>
                <w:sz w:val="13"/>
              </w:rPr>
              <w:t xml:space="preserve">发展与改革事务</w:t>
            </w:r>
          </w:p>
        </w:tc>
        <w:tc>
          <w:tcPr>
            <w:tcW w:w="960" w:type="dxa"/>
            <w:tcBorders/>
            <w:vAlign w:val="center"/>
          </w:tcPr>
          <w:p>
            <w:pPr>
              <w:jc w:val="right"/>
            </w:pPr>
            <w:r>
              <w:rPr>
                <w:rFonts w:ascii="宋体" w:eastAsia="宋体" w:hAnsi="宋体" w:cs="宋体"/>
                <w:b w:val="0"/>
                <w:i w:val="0"/>
                <w:color w:val="000000"/>
                <w:sz w:val="13"/>
              </w:rPr>
              <w:t xml:space="preserve">117.40</w:t>
            </w:r>
          </w:p>
        </w:tc>
        <w:tc>
          <w:tcPr>
            <w:tcW w:w="960" w:type="dxa"/>
            <w:tcBorders/>
            <w:vAlign w:val="center"/>
          </w:tcPr>
          <w:p>
            <w:pPr>
              <w:jc w:val="right"/>
            </w:pPr>
            <w:r>
              <w:rPr>
                <w:rFonts w:ascii="宋体" w:eastAsia="宋体" w:hAnsi="宋体" w:cs="宋体"/>
                <w:b w:val="0"/>
                <w:i w:val="0"/>
                <w:color w:val="000000"/>
                <w:sz w:val="13"/>
              </w:rPr>
              <w:t xml:space="preserve">117.40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116.23</w:t>
            </w:r>
          </w:p>
        </w:tc>
        <w:tc>
          <w:tcPr>
            <w:tcW w:w="960" w:type="dxa"/>
            <w:tcBorders/>
            <w:vAlign w:val="center"/>
          </w:tcPr>
          <w:p>
            <w:pPr>
              <w:jc w:val="right"/>
            </w:pPr>
            <w:r>
              <w:rPr>
                <w:rFonts w:ascii="宋体" w:eastAsia="宋体" w:hAnsi="宋体" w:cs="宋体"/>
                <w:b w:val="0"/>
                <w:i w:val="0"/>
                <w:color w:val="000000"/>
                <w:sz w:val="13"/>
              </w:rPr>
              <w:t xml:space="preserve">116.23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2010499</w:t>
            </w:r>
          </w:p>
        </w:tc>
        <w:tc>
          <w:tcPr>
            <w:tcW w:w="3200" w:type="dxa"/>
            <w:tcBorders/>
            <w:vAlign w:val="center"/>
          </w:tcPr>
          <w:p>
            <w:pPr>
              <w:jc w:val="left"/>
            </w:pPr>
            <w:r>
              <w:rPr>
                <w:rFonts w:ascii="宋体" w:eastAsia="宋体" w:hAnsi="宋体" w:cs="宋体"/>
                <w:b w:val="0"/>
                <w:i w:val="0"/>
                <w:color w:val="000000"/>
                <w:sz w:val="13"/>
              </w:rPr>
              <w:t xml:space="preserve">其他发展与改革事务支出</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16.87</w:t>
            </w:r>
          </w:p>
        </w:tc>
        <w:tc>
          <w:tcPr>
            <w:tcW w:w="960" w:type="dxa"/>
            <w:tcBorders/>
            <w:vAlign w:val="center"/>
          </w:tcPr>
          <w:p>
            <w:pPr>
              <w:jc w:val="right"/>
            </w:pPr>
            <w:r>
              <w:rPr>
                <w:rFonts w:ascii="宋体" w:eastAsia="宋体" w:hAnsi="宋体" w:cs="宋体"/>
                <w:b w:val="0"/>
                <w:i w:val="0"/>
                <w:color w:val="000000"/>
                <w:sz w:val="13"/>
              </w:rPr>
              <w:t xml:space="preserve">16.87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16.87</w:t>
            </w:r>
          </w:p>
        </w:tc>
        <w:tc>
          <w:tcPr>
            <w:tcW w:w="960" w:type="dxa"/>
            <w:tcBorders/>
            <w:vAlign w:val="center"/>
          </w:tcPr>
          <w:p>
            <w:pPr>
              <w:jc w:val="right"/>
            </w:pPr>
            <w:r>
              <w:rPr>
                <w:rFonts w:ascii="宋体" w:eastAsia="宋体" w:hAnsi="宋体" w:cs="宋体"/>
                <w:b w:val="0"/>
                <w:i w:val="0"/>
                <w:color w:val="000000"/>
                <w:sz w:val="13"/>
              </w:rPr>
              <w:t xml:space="preserve">16.87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1.04</w:t>
            </w:r>
          </w:p>
        </w:tc>
        <w:tc>
          <w:tcPr>
            <w:tcW w:w="960" w:type="dxa"/>
            <w:tcBorders/>
            <w:vAlign w:val="center"/>
          </w:tcPr>
          <w:p>
            <w:pPr>
              <w:jc w:val="right"/>
            </w:pPr>
            <w:r>
              <w:rPr>
                <w:rFonts w:ascii="宋体" w:eastAsia="宋体" w:hAnsi="宋体" w:cs="宋体"/>
                <w:b w:val="0"/>
                <w:i w:val="0"/>
                <w:color w:val="000000"/>
                <w:sz w:val="13"/>
              </w:rPr>
              <w:t xml:space="preserve">1.04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15.83</w:t>
            </w:r>
          </w:p>
        </w:tc>
        <w:tc>
          <w:tcPr>
            <w:tcW w:w="960" w:type="dxa"/>
            <w:tcBorders/>
            <w:vAlign w:val="center"/>
          </w:tcPr>
          <w:p>
            <w:pPr>
              <w:jc w:val="right"/>
            </w:pPr>
            <w:r>
              <w:rPr>
                <w:rFonts w:ascii="宋体" w:eastAsia="宋体" w:hAnsi="宋体" w:cs="宋体"/>
                <w:b w:val="0"/>
                <w:i w:val="0"/>
                <w:color w:val="000000"/>
                <w:sz w:val="13"/>
              </w:rPr>
              <w:t xml:space="preserve">15.83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15.46</w:t>
            </w:r>
          </w:p>
        </w:tc>
        <w:tc>
          <w:tcPr>
            <w:tcW w:w="960" w:type="dxa"/>
            <w:tcBorders/>
            <w:vAlign w:val="center"/>
          </w:tcPr>
          <w:p>
            <w:pPr>
              <w:jc w:val="right"/>
            </w:pPr>
            <w:r>
              <w:rPr>
                <w:rFonts w:ascii="宋体" w:eastAsia="宋体" w:hAnsi="宋体" w:cs="宋体"/>
                <w:b w:val="0"/>
                <w:i w:val="0"/>
                <w:color w:val="000000"/>
                <w:sz w:val="13"/>
              </w:rPr>
              <w:t xml:space="preserve">15.46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15.46</w:t>
            </w:r>
          </w:p>
        </w:tc>
        <w:tc>
          <w:tcPr>
            <w:tcW w:w="960" w:type="dxa"/>
            <w:tcBorders/>
            <w:vAlign w:val="center"/>
          </w:tcPr>
          <w:p>
            <w:pPr>
              <w:jc w:val="right"/>
            </w:pPr>
            <w:r>
              <w:rPr>
                <w:rFonts w:ascii="宋体" w:eastAsia="宋体" w:hAnsi="宋体" w:cs="宋体"/>
                <w:b w:val="0"/>
                <w:i w:val="0"/>
                <w:color w:val="000000"/>
                <w:sz w:val="13"/>
              </w:rPr>
              <w:t xml:space="preserve">15.46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15.46</w:t>
            </w:r>
          </w:p>
        </w:tc>
        <w:tc>
          <w:tcPr>
            <w:tcW w:w="960" w:type="dxa"/>
            <w:tcBorders/>
            <w:vAlign w:val="center"/>
          </w:tcPr>
          <w:p>
            <w:pPr>
              <w:jc w:val="right"/>
            </w:pPr>
            <w:r>
              <w:rPr>
                <w:rFonts w:ascii="宋体" w:eastAsia="宋体" w:hAnsi="宋体" w:cs="宋体"/>
                <w:b w:val="0"/>
                <w:i w:val="0"/>
                <w:color w:val="000000"/>
                <w:sz w:val="13"/>
              </w:rPr>
              <w:t xml:space="preserve">15.46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157.23</w:t>
            </w:r>
          </w:p>
        </w:tc>
        <w:tc>
          <w:tcPr>
            <w:tcW w:w="1060" w:type="dxa"/>
            <w:tcBorders/>
            <w:vAlign w:val="center"/>
          </w:tcPr>
          <w:p>
            <w:pPr>
              <w:jc w:val="right"/>
            </w:pPr>
            <w:r>
              <w:rPr>
                <w:rFonts w:ascii="宋体" w:eastAsia="宋体" w:hAnsi="宋体" w:cs="宋体"/>
                <w:b/>
                <w:i w:val="0"/>
                <w:color w:val="000000"/>
                <w:sz w:val="14"/>
              </w:rPr>
              <w:t xml:space="preserve">156.06</w:t>
            </w:r>
          </w:p>
        </w:tc>
        <w:tc>
          <w:tcPr>
            <w:tcW w:w="1060" w:type="dxa"/>
            <w:tcBorders/>
            <w:vAlign w:val="center"/>
          </w:tcPr>
          <w:p>
            <w:pPr>
              <w:jc w:val="right"/>
            </w:pPr>
            <w:r>
              <w:rPr>
                <w:rFonts w:ascii="宋体" w:eastAsia="宋体" w:hAnsi="宋体" w:cs="宋体"/>
                <w:b/>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117.40</w:t>
            </w:r>
          </w:p>
        </w:tc>
        <w:tc>
          <w:tcPr>
            <w:tcW w:w="1060" w:type="dxa"/>
            <w:tcBorders/>
            <w:vAlign w:val="center"/>
          </w:tcPr>
          <w:p>
            <w:pPr>
              <w:jc w:val="right"/>
            </w:pPr>
            <w:r>
              <w:rPr>
                <w:rFonts w:ascii="宋体" w:eastAsia="宋体" w:hAnsi="宋体" w:cs="宋体"/>
                <w:b w:val="0"/>
                <w:i w:val="0"/>
                <w:color w:val="000000"/>
                <w:sz w:val="14"/>
              </w:rPr>
              <w:t xml:space="preserve">116.23</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w:t>
            </w:r>
          </w:p>
        </w:tc>
        <w:tc>
          <w:tcPr>
            <w:tcW w:w="3440" w:type="dxa"/>
            <w:tcBorders/>
            <w:vAlign w:val="center"/>
          </w:tcPr>
          <w:p>
            <w:pPr>
              <w:jc w:val="left"/>
            </w:pPr>
            <w:r>
              <w:rPr>
                <w:rFonts w:ascii="宋体" w:eastAsia="宋体" w:hAnsi="宋体" w:cs="宋体"/>
                <w:b w:val="0"/>
                <w:i w:val="0"/>
                <w:color w:val="000000"/>
                <w:sz w:val="14"/>
              </w:rPr>
              <w:t xml:space="preserve">发展与改革事务</w:t>
            </w:r>
          </w:p>
        </w:tc>
        <w:tc>
          <w:tcPr>
            <w:tcW w:w="1060" w:type="dxa"/>
            <w:tcBorders/>
            <w:vAlign w:val="center"/>
          </w:tcPr>
          <w:p>
            <w:pPr>
              <w:jc w:val="right"/>
            </w:pPr>
            <w:r>
              <w:rPr>
                <w:rFonts w:ascii="宋体" w:eastAsia="宋体" w:hAnsi="宋体" w:cs="宋体"/>
                <w:b w:val="0"/>
                <w:i w:val="0"/>
                <w:color w:val="000000"/>
                <w:sz w:val="14"/>
              </w:rPr>
              <w:t xml:space="preserve">117.40</w:t>
            </w:r>
          </w:p>
        </w:tc>
        <w:tc>
          <w:tcPr>
            <w:tcW w:w="1060" w:type="dxa"/>
            <w:tcBorders/>
            <w:vAlign w:val="center"/>
          </w:tcPr>
          <w:p>
            <w:pPr>
              <w:jc w:val="right"/>
            </w:pPr>
            <w:r>
              <w:rPr>
                <w:rFonts w:ascii="宋体" w:eastAsia="宋体" w:hAnsi="宋体" w:cs="宋体"/>
                <w:b w:val="0"/>
                <w:i w:val="0"/>
                <w:color w:val="000000"/>
                <w:sz w:val="14"/>
              </w:rPr>
              <w:t xml:space="preserve">116.23</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116.23</w:t>
            </w:r>
          </w:p>
        </w:tc>
        <w:tc>
          <w:tcPr>
            <w:tcW w:w="1060" w:type="dxa"/>
            <w:tcBorders/>
            <w:vAlign w:val="center"/>
          </w:tcPr>
          <w:p>
            <w:pPr>
              <w:jc w:val="right"/>
            </w:pPr>
            <w:r>
              <w:rPr>
                <w:rFonts w:ascii="宋体" w:eastAsia="宋体" w:hAnsi="宋体" w:cs="宋体"/>
                <w:b w:val="0"/>
                <w:i w:val="0"/>
                <w:color w:val="000000"/>
                <w:sz w:val="14"/>
              </w:rPr>
              <w:t xml:space="preserve">116.23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2010499</w:t>
            </w:r>
          </w:p>
        </w:tc>
        <w:tc>
          <w:tcPr>
            <w:tcW w:w="3440" w:type="dxa"/>
            <w:tcBorders/>
            <w:vAlign w:val="center"/>
          </w:tcPr>
          <w:p>
            <w:pPr>
              <w:jc w:val="left"/>
            </w:pPr>
            <w:r>
              <w:rPr>
                <w:rFonts w:ascii="宋体" w:eastAsia="宋体" w:hAnsi="宋体" w:cs="宋体"/>
                <w:b w:val="0"/>
                <w:i w:val="0"/>
                <w:color w:val="000000"/>
                <w:sz w:val="14"/>
              </w:rPr>
              <w:t xml:space="preserve">其他发展与改革事务支出</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16.87</w:t>
            </w:r>
          </w:p>
        </w:tc>
        <w:tc>
          <w:tcPr>
            <w:tcW w:w="1060" w:type="dxa"/>
            <w:tcBorders/>
            <w:vAlign w:val="center"/>
          </w:tcPr>
          <w:p>
            <w:pPr>
              <w:jc w:val="right"/>
            </w:pPr>
            <w:r>
              <w:rPr>
                <w:rFonts w:ascii="宋体" w:eastAsia="宋体" w:hAnsi="宋体" w:cs="宋体"/>
                <w:b w:val="0"/>
                <w:i w:val="0"/>
                <w:color w:val="000000"/>
                <w:sz w:val="14"/>
              </w:rPr>
              <w:t xml:space="preserve">16.87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16.87</w:t>
            </w:r>
          </w:p>
        </w:tc>
        <w:tc>
          <w:tcPr>
            <w:tcW w:w="1060" w:type="dxa"/>
            <w:tcBorders/>
            <w:vAlign w:val="center"/>
          </w:tcPr>
          <w:p>
            <w:pPr>
              <w:jc w:val="right"/>
            </w:pPr>
            <w:r>
              <w:rPr>
                <w:rFonts w:ascii="宋体" w:eastAsia="宋体" w:hAnsi="宋体" w:cs="宋体"/>
                <w:b w:val="0"/>
                <w:i w:val="0"/>
                <w:color w:val="000000"/>
                <w:sz w:val="14"/>
              </w:rPr>
              <w:t xml:space="preserve">16.87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1.04</w:t>
            </w:r>
          </w:p>
        </w:tc>
        <w:tc>
          <w:tcPr>
            <w:tcW w:w="1060" w:type="dxa"/>
            <w:tcBorders/>
            <w:vAlign w:val="center"/>
          </w:tcPr>
          <w:p>
            <w:pPr>
              <w:jc w:val="right"/>
            </w:pPr>
            <w:r>
              <w:rPr>
                <w:rFonts w:ascii="宋体" w:eastAsia="宋体" w:hAnsi="宋体" w:cs="宋体"/>
                <w:b w:val="0"/>
                <w:i w:val="0"/>
                <w:color w:val="000000"/>
                <w:sz w:val="14"/>
              </w:rPr>
              <w:t xml:space="preserve">1.04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15.83</w:t>
            </w:r>
          </w:p>
        </w:tc>
        <w:tc>
          <w:tcPr>
            <w:tcW w:w="1060" w:type="dxa"/>
            <w:tcBorders/>
            <w:vAlign w:val="center"/>
          </w:tcPr>
          <w:p>
            <w:pPr>
              <w:jc w:val="right"/>
            </w:pPr>
            <w:r>
              <w:rPr>
                <w:rFonts w:ascii="宋体" w:eastAsia="宋体" w:hAnsi="宋体" w:cs="宋体"/>
                <w:b w:val="0"/>
                <w:i w:val="0"/>
                <w:color w:val="000000"/>
                <w:sz w:val="14"/>
              </w:rPr>
              <w:t xml:space="preserve">15.83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15.46</w:t>
            </w:r>
          </w:p>
        </w:tc>
        <w:tc>
          <w:tcPr>
            <w:tcW w:w="1060" w:type="dxa"/>
            <w:tcBorders/>
            <w:vAlign w:val="center"/>
          </w:tcPr>
          <w:p>
            <w:pPr>
              <w:jc w:val="right"/>
            </w:pPr>
            <w:r>
              <w:rPr>
                <w:rFonts w:ascii="宋体" w:eastAsia="宋体" w:hAnsi="宋体" w:cs="宋体"/>
                <w:b w:val="0"/>
                <w:i w:val="0"/>
                <w:color w:val="000000"/>
                <w:sz w:val="14"/>
              </w:rPr>
              <w:t xml:space="preserve">15.46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15.46</w:t>
            </w:r>
          </w:p>
        </w:tc>
        <w:tc>
          <w:tcPr>
            <w:tcW w:w="1060" w:type="dxa"/>
            <w:tcBorders/>
            <w:vAlign w:val="center"/>
          </w:tcPr>
          <w:p>
            <w:pPr>
              <w:jc w:val="right"/>
            </w:pPr>
            <w:r>
              <w:rPr>
                <w:rFonts w:ascii="宋体" w:eastAsia="宋体" w:hAnsi="宋体" w:cs="宋体"/>
                <w:b w:val="0"/>
                <w:i w:val="0"/>
                <w:color w:val="000000"/>
                <w:sz w:val="14"/>
              </w:rPr>
              <w:t xml:space="preserve">15.46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15.46</w:t>
            </w:r>
          </w:p>
        </w:tc>
        <w:tc>
          <w:tcPr>
            <w:tcW w:w="1060" w:type="dxa"/>
            <w:tcBorders/>
            <w:vAlign w:val="center"/>
          </w:tcPr>
          <w:p>
            <w:pPr>
              <w:jc w:val="right"/>
            </w:pPr>
            <w:r>
              <w:rPr>
                <w:rFonts w:ascii="宋体" w:eastAsia="宋体" w:hAnsi="宋体" w:cs="宋体"/>
                <w:b w:val="0"/>
                <w:i w:val="0"/>
                <w:color w:val="000000"/>
                <w:sz w:val="14"/>
              </w:rPr>
              <w:t xml:space="preserve">15.46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117.40</w:t>
            </w:r>
          </w:p>
        </w:tc>
        <w:tc>
          <w:tcPr>
            <w:tcW w:w="1100" w:type="dxa"/>
            <w:tcBorders/>
            <w:vAlign w:val="center"/>
          </w:tcPr>
          <w:p>
            <w:pPr>
              <w:jc w:val="right"/>
            </w:pPr>
            <w:r>
              <w:rPr>
                <w:rFonts w:ascii="宋体" w:eastAsia="宋体" w:hAnsi="宋体" w:cs="宋体"/>
                <w:b w:val="0"/>
                <w:i w:val="0"/>
                <w:color w:val="000000"/>
                <w:sz w:val="14"/>
              </w:rPr>
              <w:t xml:space="preserve">117.40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16.87</w:t>
            </w:r>
          </w:p>
        </w:tc>
        <w:tc>
          <w:tcPr>
            <w:tcW w:w="1100" w:type="dxa"/>
            <w:tcBorders/>
            <w:vAlign w:val="center"/>
          </w:tcPr>
          <w:p>
            <w:pPr>
              <w:jc w:val="right"/>
            </w:pPr>
            <w:r>
              <w:rPr>
                <w:rFonts w:ascii="宋体" w:eastAsia="宋体" w:hAnsi="宋体" w:cs="宋体"/>
                <w:b w:val="0"/>
                <w:i w:val="0"/>
                <w:color w:val="000000"/>
                <w:sz w:val="14"/>
              </w:rPr>
              <w:t xml:space="preserve">16.87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7.49</w:t>
            </w:r>
          </w:p>
        </w:tc>
        <w:tc>
          <w:tcPr>
            <w:tcW w:w="1100" w:type="dxa"/>
            <w:tcBorders/>
            <w:vAlign w:val="center"/>
          </w:tcPr>
          <w:p>
            <w:pPr>
              <w:jc w:val="right"/>
            </w:pPr>
            <w:r>
              <w:rPr>
                <w:rFonts w:ascii="宋体" w:eastAsia="宋体" w:hAnsi="宋体" w:cs="宋体"/>
                <w:b w:val="0"/>
                <w:i w:val="0"/>
                <w:color w:val="000000"/>
                <w:sz w:val="14"/>
              </w:rPr>
              <w:t xml:space="preserve">7.49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15.46</w:t>
            </w:r>
          </w:p>
        </w:tc>
        <w:tc>
          <w:tcPr>
            <w:tcW w:w="1100" w:type="dxa"/>
            <w:tcBorders/>
            <w:vAlign w:val="center"/>
          </w:tcPr>
          <w:p>
            <w:pPr>
              <w:jc w:val="right"/>
            </w:pPr>
            <w:r>
              <w:rPr>
                <w:rFonts w:ascii="宋体" w:eastAsia="宋体" w:hAnsi="宋体" w:cs="宋体"/>
                <w:b w:val="0"/>
                <w:i w:val="0"/>
                <w:color w:val="000000"/>
                <w:sz w:val="14"/>
              </w:rPr>
              <w:t xml:space="preserve">15.46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1100" w:type="dxa"/>
            <w:tcBorders/>
            <w:vAlign w:val="center"/>
          </w:tcPr>
          <w:p>
            <w:pPr>
              <w:jc w:val="right"/>
            </w:pPr>
            <w:r>
              <w:rPr>
                <w:rFonts w:ascii="宋体" w:eastAsia="宋体" w:hAnsi="宋体" w:cs="宋体"/>
                <w:b w:val="0"/>
                <w:i w:val="0"/>
                <w:color w:val="000000"/>
                <w:sz w:val="14"/>
              </w:rPr>
              <w:t xml:space="preserve">157.23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157.23</w:t>
            </w:r>
          </w:p>
        </w:tc>
        <w:tc>
          <w:tcPr>
            <w:tcW w:w="1780" w:type="dxa"/>
            <w:tcBorders/>
            <w:vAlign w:val="center"/>
          </w:tcPr>
          <w:p>
            <w:pPr>
              <w:jc w:val="right"/>
            </w:pPr>
            <w:r>
              <w:rPr>
                <w:rFonts w:ascii="宋体" w:eastAsia="宋体" w:hAnsi="宋体" w:cs="宋体"/>
                <w:b/>
                <w:i w:val="0"/>
                <w:color w:val="000000"/>
                <w:sz w:val="18"/>
              </w:rPr>
              <w:t xml:space="preserve">156.06</w:t>
            </w:r>
          </w:p>
        </w:tc>
        <w:tc>
          <w:tcPr>
            <w:tcW w:w="1772" w:type="dxa"/>
            <w:tcBorders/>
            <w:vAlign w:val="center"/>
          </w:tcPr>
          <w:p>
            <w:pPr>
              <w:jc w:val="right"/>
            </w:pPr>
            <w:r>
              <w:rPr>
                <w:rFonts w:ascii="宋体" w:eastAsia="宋体" w:hAnsi="宋体" w:cs="宋体"/>
                <w:b/>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117.40</w:t>
            </w:r>
          </w:p>
        </w:tc>
        <w:tc>
          <w:tcPr>
            <w:tcW w:w="1780" w:type="dxa"/>
            <w:tcBorders/>
            <w:vAlign w:val="center"/>
          </w:tcPr>
          <w:p>
            <w:pPr>
              <w:jc w:val="right"/>
            </w:pPr>
            <w:r>
              <w:rPr>
                <w:rFonts w:ascii="宋体" w:eastAsia="宋体" w:hAnsi="宋体" w:cs="宋体"/>
                <w:b w:val="0"/>
                <w:i w:val="0"/>
                <w:color w:val="000000"/>
                <w:sz w:val="18"/>
              </w:rPr>
              <w:t xml:space="preserve">116.23</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w:t>
            </w:r>
          </w:p>
        </w:tc>
        <w:tc>
          <w:tcPr>
            <w:tcW w:w="4300" w:type="dxa"/>
            <w:tcBorders/>
            <w:vAlign w:val="center"/>
          </w:tcPr>
          <w:p>
            <w:pPr>
              <w:jc w:val="left"/>
            </w:pPr>
            <w:r>
              <w:rPr>
                <w:rFonts w:ascii="宋体" w:eastAsia="宋体" w:hAnsi="宋体" w:cs="宋体"/>
                <w:b w:val="0"/>
                <w:i w:val="0"/>
                <w:color w:val="000000"/>
                <w:sz w:val="18"/>
              </w:rPr>
              <w:t xml:space="preserve">发展与改革事务</w:t>
            </w:r>
          </w:p>
        </w:tc>
        <w:tc>
          <w:tcPr>
            <w:tcW w:w="1780" w:type="dxa"/>
            <w:tcBorders/>
            <w:vAlign w:val="center"/>
          </w:tcPr>
          <w:p>
            <w:pPr>
              <w:jc w:val="right"/>
            </w:pPr>
            <w:r>
              <w:rPr>
                <w:rFonts w:ascii="宋体" w:eastAsia="宋体" w:hAnsi="宋体" w:cs="宋体"/>
                <w:b w:val="0"/>
                <w:i w:val="0"/>
                <w:color w:val="000000"/>
                <w:sz w:val="18"/>
              </w:rPr>
              <w:t xml:space="preserve">117.40</w:t>
            </w:r>
          </w:p>
        </w:tc>
        <w:tc>
          <w:tcPr>
            <w:tcW w:w="1780" w:type="dxa"/>
            <w:tcBorders/>
            <w:vAlign w:val="center"/>
          </w:tcPr>
          <w:p>
            <w:pPr>
              <w:jc w:val="right"/>
            </w:pPr>
            <w:r>
              <w:rPr>
                <w:rFonts w:ascii="宋体" w:eastAsia="宋体" w:hAnsi="宋体" w:cs="宋体"/>
                <w:b w:val="0"/>
                <w:i w:val="0"/>
                <w:color w:val="000000"/>
                <w:sz w:val="18"/>
              </w:rPr>
              <w:t xml:space="preserve">116.23</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116.23</w:t>
            </w:r>
          </w:p>
        </w:tc>
        <w:tc>
          <w:tcPr>
            <w:tcW w:w="1780" w:type="dxa"/>
            <w:tcBorders/>
            <w:vAlign w:val="center"/>
          </w:tcPr>
          <w:p>
            <w:pPr>
              <w:jc w:val="right"/>
            </w:pPr>
            <w:r>
              <w:rPr>
                <w:rFonts w:ascii="宋体" w:eastAsia="宋体" w:hAnsi="宋体" w:cs="宋体"/>
                <w:b w:val="0"/>
                <w:i w:val="0"/>
                <w:color w:val="000000"/>
                <w:sz w:val="18"/>
              </w:rPr>
              <w:t xml:space="preserve">116.23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2010499</w:t>
            </w:r>
          </w:p>
        </w:tc>
        <w:tc>
          <w:tcPr>
            <w:tcW w:w="4300" w:type="dxa"/>
            <w:tcBorders/>
            <w:vAlign w:val="center"/>
          </w:tcPr>
          <w:p>
            <w:pPr>
              <w:jc w:val="left"/>
            </w:pPr>
            <w:r>
              <w:rPr>
                <w:rFonts w:ascii="宋体" w:eastAsia="宋体" w:hAnsi="宋体" w:cs="宋体"/>
                <w:b w:val="0"/>
                <w:i w:val="0"/>
                <w:color w:val="000000"/>
                <w:sz w:val="18"/>
              </w:rPr>
              <w:t xml:space="preserve">其他发展与改革事务支出</w:t>
            </w:r>
          </w:p>
        </w:tc>
        <w:tc>
          <w:tcPr>
            <w:tcW w:w="1780" w:type="dxa"/>
            <w:tcBorders/>
            <w:vAlign w:val="center"/>
          </w:tcPr>
          <w:p>
            <w:pPr>
              <w:jc w:val="right"/>
            </w:pPr>
            <w:r>
              <w:rPr>
                <w:rFonts w:ascii="宋体" w:eastAsia="宋体" w:hAnsi="宋体" w:cs="宋体"/>
                <w:b w:val="0"/>
                <w:i w:val="0"/>
                <w:color w:val="000000"/>
                <w:sz w:val="18"/>
              </w:rPr>
              <w:t xml:space="preserve">1.17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16.87</w:t>
            </w:r>
          </w:p>
        </w:tc>
        <w:tc>
          <w:tcPr>
            <w:tcW w:w="1780" w:type="dxa"/>
            <w:tcBorders/>
            <w:vAlign w:val="center"/>
          </w:tcPr>
          <w:p>
            <w:pPr>
              <w:jc w:val="right"/>
            </w:pPr>
            <w:r>
              <w:rPr>
                <w:rFonts w:ascii="宋体" w:eastAsia="宋体" w:hAnsi="宋体" w:cs="宋体"/>
                <w:b w:val="0"/>
                <w:i w:val="0"/>
                <w:color w:val="000000"/>
                <w:sz w:val="18"/>
              </w:rPr>
              <w:t xml:space="preserve">16.87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16.87</w:t>
            </w:r>
          </w:p>
        </w:tc>
        <w:tc>
          <w:tcPr>
            <w:tcW w:w="1780" w:type="dxa"/>
            <w:tcBorders/>
            <w:vAlign w:val="center"/>
          </w:tcPr>
          <w:p>
            <w:pPr>
              <w:jc w:val="right"/>
            </w:pPr>
            <w:r>
              <w:rPr>
                <w:rFonts w:ascii="宋体" w:eastAsia="宋体" w:hAnsi="宋体" w:cs="宋体"/>
                <w:b w:val="0"/>
                <w:i w:val="0"/>
                <w:color w:val="000000"/>
                <w:sz w:val="18"/>
              </w:rPr>
              <w:t xml:space="preserve">16.87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1.04</w:t>
            </w:r>
          </w:p>
        </w:tc>
        <w:tc>
          <w:tcPr>
            <w:tcW w:w="1780" w:type="dxa"/>
            <w:tcBorders/>
            <w:vAlign w:val="center"/>
          </w:tcPr>
          <w:p>
            <w:pPr>
              <w:jc w:val="right"/>
            </w:pPr>
            <w:r>
              <w:rPr>
                <w:rFonts w:ascii="宋体" w:eastAsia="宋体" w:hAnsi="宋体" w:cs="宋体"/>
                <w:b w:val="0"/>
                <w:i w:val="0"/>
                <w:color w:val="000000"/>
                <w:sz w:val="18"/>
              </w:rPr>
              <w:t xml:space="preserve">1.04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15.83</w:t>
            </w:r>
          </w:p>
        </w:tc>
        <w:tc>
          <w:tcPr>
            <w:tcW w:w="1780" w:type="dxa"/>
            <w:tcBorders/>
            <w:vAlign w:val="center"/>
          </w:tcPr>
          <w:p>
            <w:pPr>
              <w:jc w:val="right"/>
            </w:pPr>
            <w:r>
              <w:rPr>
                <w:rFonts w:ascii="宋体" w:eastAsia="宋体" w:hAnsi="宋体" w:cs="宋体"/>
                <w:b w:val="0"/>
                <w:i w:val="0"/>
                <w:color w:val="000000"/>
                <w:sz w:val="18"/>
              </w:rPr>
              <w:t xml:space="preserve">15.83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15.46</w:t>
            </w:r>
          </w:p>
        </w:tc>
        <w:tc>
          <w:tcPr>
            <w:tcW w:w="1780" w:type="dxa"/>
            <w:tcBorders/>
            <w:vAlign w:val="center"/>
          </w:tcPr>
          <w:p>
            <w:pPr>
              <w:jc w:val="right"/>
            </w:pPr>
            <w:r>
              <w:rPr>
                <w:rFonts w:ascii="宋体" w:eastAsia="宋体" w:hAnsi="宋体" w:cs="宋体"/>
                <w:b w:val="0"/>
                <w:i w:val="0"/>
                <w:color w:val="000000"/>
                <w:sz w:val="18"/>
              </w:rPr>
              <w:t xml:space="preserve">15.46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15.46</w:t>
            </w:r>
          </w:p>
        </w:tc>
        <w:tc>
          <w:tcPr>
            <w:tcW w:w="1780" w:type="dxa"/>
            <w:tcBorders/>
            <w:vAlign w:val="center"/>
          </w:tcPr>
          <w:p>
            <w:pPr>
              <w:jc w:val="right"/>
            </w:pPr>
            <w:r>
              <w:rPr>
                <w:rFonts w:ascii="宋体" w:eastAsia="宋体" w:hAnsi="宋体" w:cs="宋体"/>
                <w:b w:val="0"/>
                <w:i w:val="0"/>
                <w:color w:val="000000"/>
                <w:sz w:val="18"/>
              </w:rPr>
              <w:t xml:space="preserve">15.46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15.46</w:t>
            </w:r>
          </w:p>
        </w:tc>
        <w:tc>
          <w:tcPr>
            <w:tcW w:w="1780" w:type="dxa"/>
            <w:tcBorders/>
            <w:vAlign w:val="center"/>
          </w:tcPr>
          <w:p>
            <w:pPr>
              <w:jc w:val="right"/>
            </w:pPr>
            <w:r>
              <w:rPr>
                <w:rFonts w:ascii="宋体" w:eastAsia="宋体" w:hAnsi="宋体" w:cs="宋体"/>
                <w:b w:val="0"/>
                <w:i w:val="0"/>
                <w:color w:val="000000"/>
                <w:sz w:val="18"/>
              </w:rPr>
              <w:t xml:space="preserve">15.46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146.06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8.96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38.69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1.95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2.72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2.48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3.65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59.04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15.83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5.94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7.49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15.46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0.92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147.10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8.96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单位：辽宁省沈阳市浑南区发展改革促进中心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严格按要求足额缴纳残疾人就业保障金，进一步提升保障水平。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8.59566234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评估费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结合全区认证工作实际，提高价格鉴定工作质量和专业化程度，发挥各类专家在价格鉴定工作中的作用，确保鉴定结论客观、公正。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全面完成本年工作，确保鉴定结论客观公正。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经费保障:因特殊原因，本年度由于经费紧张，资金不足，资金未拨付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根据粮食质量调查、品质测报及辽宁好粮油品质测评工作要求及工作部署，开展浑南区粮食检验、检测工作，确保粮食安全。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已按要求开展工作，确保粮食安全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项目咨询费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按市公管办考核要求，符合《浑南区公共资源项目进场交易目录》要求的项目，保证100%进场交易，按时完成招投标工作。维护公开、公平、公正的公共资源交易秩序。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主要根据当年实际发生招投标项目投诉质疑、项目核实数量等所使用的费用。主要用于建设工程招标项目产生投诉质疑时，邀请专业机构鉴定和委托评审专家重新评审核实情况。因本年度未发生此类情况，故未产生该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其他:该项目需要根据当年实际了生招投标项目投诉质疑、项目核实数量等情况而产生的费用，本年度未发生此类情况。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其他:坚持公平公正高效原则</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专项工作材料印制费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落实市委市政府政策要求，提升项目整体质量，完成全市考核指标；规范价格认定档案管理，确保档案完整、真实和安全。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062002沈阳市浑南区发展改革促进中心-210112000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177.52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177.52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109.81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.组织落实项目工作任务，全面完成全区重点项目综合调度，公共资源交易工作指导、综合协调和监督管理及价格认证等工作，确保各项工作有序运转。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全面完面各项工作任务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推进产业链和配套能力发展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建立重点项目督导与监督机制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