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p>
    <w:p>
      <w:pPr>
        <w:pStyle w:val="6"/>
        <w:rPr>
          <w:rFonts w:hint="default" w:ascii="黑体" w:eastAsia="黑体"/>
          <w:sz w:val="32"/>
        </w:rPr>
      </w:pPr>
    </w:p>
    <w:p>
      <w:pPr>
        <w:pStyle w:val="6"/>
        <w:rPr>
          <w:rFonts w:hint="default" w:ascii="黑体" w:eastAsia="黑体"/>
          <w:sz w:val="32"/>
        </w:rPr>
      </w:pPr>
    </w:p>
    <w:p>
      <w:pPr>
        <w:pStyle w:val="6"/>
        <w:rPr>
          <w:rFonts w:hint="default" w:ascii="黑体" w:eastAsia="黑体"/>
          <w:sz w:val="32"/>
        </w:rPr>
      </w:pPr>
    </w:p>
    <w:p>
      <w:pPr>
        <w:pStyle w:val="6"/>
        <w:rPr>
          <w:rFonts w:hint="default" w:ascii="黑体" w:eastAsia="黑体"/>
          <w:sz w:val="32"/>
        </w:rPr>
      </w:pPr>
    </w:p>
    <w:p>
      <w:pPr>
        <w:pStyle w:val="6"/>
        <w:rPr>
          <w:rFonts w:hint="default" w:ascii="黑体" w:eastAsia="黑体"/>
          <w:sz w:val="32"/>
        </w:rPr>
      </w:pPr>
    </w:p>
    <w:p>
      <w:pPr>
        <w:pStyle w:val="6"/>
        <w:rPr>
          <w:rFonts w:hint="default" w:ascii="黑体" w:eastAsia="黑体"/>
          <w:sz w:val="32"/>
        </w:rPr>
      </w:pPr>
    </w:p>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jc w:val="center"/>
        <w:rPr>
          <w:rFonts w:hint="eastAsia" w:ascii="宋体" w:hAnsi="宋体" w:eastAsia="宋体"/>
          <w:b/>
          <w:sz w:val="52"/>
          <w:szCs w:val="52"/>
          <w:lang w:eastAsia="zh-CN"/>
        </w:rPr>
      </w:pPr>
      <w:r>
        <w:rPr>
          <w:rFonts w:ascii="宋体" w:hAnsi="宋体"/>
          <w:b/>
          <w:sz w:val="52"/>
          <w:szCs w:val="52"/>
        </w:rPr>
        <w:t>浑南区政府</w:t>
      </w:r>
      <w:bookmarkStart w:id="0" w:name="_GoBack"/>
      <w:bookmarkEnd w:id="0"/>
      <w:r>
        <w:rPr>
          <w:rFonts w:hint="eastAsia" w:ascii="宋体" w:hAnsi="宋体"/>
          <w:b/>
          <w:sz w:val="52"/>
          <w:szCs w:val="52"/>
          <w:lang w:eastAsia="zh-CN"/>
        </w:rPr>
        <w:t>人民政府国有</w:t>
      </w:r>
      <w:r>
        <w:rPr>
          <w:rFonts w:ascii="宋体" w:hAnsi="宋体"/>
          <w:b/>
          <w:sz w:val="52"/>
          <w:szCs w:val="52"/>
        </w:rPr>
        <w:t>资产监督管理局2022决算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spacing w:line="540" w:lineRule="exact"/>
        <w:outlineLvl w:val="0"/>
        <w:rPr>
          <w:rFonts w:hint="default" w:ascii="宋体" w:hAnsi="宋体"/>
          <w:b/>
          <w:sz w:val="36"/>
          <w:szCs w:val="36"/>
        </w:rPr>
      </w:pPr>
    </w:p>
    <w:p>
      <w:pPr>
        <w:spacing w:line="540" w:lineRule="exact"/>
        <w:outlineLvl w:val="0"/>
        <w:rPr>
          <w:rFonts w:hint="default" w:ascii="宋体" w:hAnsi="宋体" w:cs="Times New Roman"/>
          <w:b/>
          <w:sz w:val="36"/>
          <w:szCs w:val="36"/>
        </w:rPr>
      </w:pPr>
      <w:r>
        <w:rPr>
          <w:rFonts w:ascii="宋体" w:hAnsi="宋体" w:cs="Times New Roman"/>
          <w:b/>
          <w:sz w:val="36"/>
          <w:szCs w:val="36"/>
        </w:rPr>
        <w:t>第一部分 浑南区人民政府国有资产监督管理局概况</w:t>
      </w:r>
    </w:p>
    <w:p>
      <w:pPr>
        <w:pStyle w:val="6"/>
        <w:numPr>
          <w:ilvl w:val="0"/>
          <w:numId w:val="1"/>
        </w:numPr>
        <w:spacing w:line="560" w:lineRule="exact"/>
        <w:ind w:left="993"/>
        <w:rPr>
          <w:rFonts w:hint="default" w:ascii="黑体" w:hAnsi="黑体" w:eastAsia="黑体" w:cs="黑体"/>
          <w:b/>
          <w:bCs/>
          <w:color w:val="FF0000"/>
          <w:sz w:val="32"/>
          <w:szCs w:val="32"/>
        </w:rPr>
      </w:pPr>
      <w:r>
        <w:rPr>
          <w:rFonts w:ascii="黑体" w:eastAsia="黑体"/>
          <w:sz w:val="32"/>
        </w:rPr>
        <w:t>主要职责</w:t>
      </w:r>
    </w:p>
    <w:p>
      <w:pPr>
        <w:spacing w:line="540" w:lineRule="exact"/>
        <w:rPr>
          <w:rFonts w:hint="default" w:ascii="仿宋" w:hAnsi="仿宋" w:eastAsia="仿宋"/>
          <w:sz w:val="32"/>
          <w:szCs w:val="32"/>
        </w:rPr>
      </w:pPr>
      <w:r>
        <w:rPr>
          <w:rFonts w:ascii="仿宋" w:hAnsi="仿宋" w:eastAsia="仿宋"/>
          <w:sz w:val="32"/>
          <w:szCs w:val="32"/>
        </w:rPr>
        <w:t>浑南区政府授权国有资产监督管理局（以下简称“国资局”）代表区政府履行出资人职责。国资局贯彻落实党中央、省、市关于国有企业监督管理的方针政策和决策部署，国资局党委履行中共浑南区委规定的职责，在履行职责过程中坚持和加强党对区属企业的集中统一领导。主要职责是：</w:t>
      </w:r>
    </w:p>
    <w:p>
      <w:pPr>
        <w:spacing w:line="540" w:lineRule="exact"/>
        <w:ind w:firstLine="645"/>
        <w:rPr>
          <w:rFonts w:hint="default" w:ascii="仿宋" w:hAnsi="仿宋" w:eastAsia="仿宋"/>
          <w:sz w:val="32"/>
          <w:szCs w:val="32"/>
        </w:rPr>
      </w:pPr>
      <w:r>
        <w:rPr>
          <w:rFonts w:ascii="仿宋" w:hAnsi="仿宋" w:eastAsia="仿宋"/>
          <w:sz w:val="32"/>
          <w:szCs w:val="32"/>
        </w:rPr>
        <w:t>（一）根据区政府授权，依照《中华人民共和国企业国有资产法》、《中华人民共和国公司法》等法律、法规和规章履行出资人职责，监管区属企业国有资产，加强国有资产管理工作。</w:t>
      </w:r>
    </w:p>
    <w:p>
      <w:pPr>
        <w:spacing w:line="540" w:lineRule="exact"/>
        <w:ind w:firstLine="645"/>
        <w:rPr>
          <w:rFonts w:hint="default" w:ascii="仿宋" w:hAnsi="仿宋" w:eastAsia="仿宋"/>
          <w:sz w:val="32"/>
          <w:szCs w:val="32"/>
        </w:rPr>
      </w:pPr>
      <w:r>
        <w:rPr>
          <w:rFonts w:ascii="仿宋" w:hAnsi="仿宋" w:eastAsia="仿宋"/>
          <w:sz w:val="32"/>
          <w:szCs w:val="32"/>
        </w:rPr>
        <w:t>（二）按照国务院、省、市相关规定负责企业国有资产基础管理，贯彻落实国家、省、市关于国有资产监督管理的有关法律、法规、政策和规章制度。</w:t>
      </w:r>
    </w:p>
    <w:p>
      <w:pPr>
        <w:spacing w:line="540" w:lineRule="exact"/>
        <w:ind w:firstLine="640" w:firstLineChars="200"/>
        <w:rPr>
          <w:rFonts w:hint="default" w:ascii="仿宋" w:hAnsi="仿宋" w:eastAsia="仿宋"/>
          <w:sz w:val="32"/>
          <w:szCs w:val="32"/>
        </w:rPr>
      </w:pPr>
      <w:r>
        <w:rPr>
          <w:rFonts w:ascii="仿宋" w:hAnsi="仿宋" w:eastAsia="仿宋"/>
          <w:sz w:val="32"/>
          <w:szCs w:val="32"/>
        </w:rPr>
        <w:t>（三）负责指导推进全区国有企业改革，推进国有企业的现代企业制度建设，完善公司法人治理结构，推动国有资本和国有经济布局结构优化和战略性调整。</w:t>
      </w:r>
    </w:p>
    <w:p>
      <w:pPr>
        <w:spacing w:line="540" w:lineRule="exact"/>
        <w:ind w:firstLine="640" w:firstLineChars="200"/>
        <w:rPr>
          <w:rFonts w:hint="default" w:ascii="仿宋" w:hAnsi="仿宋" w:eastAsia="仿宋"/>
          <w:sz w:val="32"/>
          <w:szCs w:val="32"/>
        </w:rPr>
      </w:pPr>
      <w:r>
        <w:rPr>
          <w:rFonts w:ascii="仿宋" w:hAnsi="仿宋" w:eastAsia="仿宋"/>
          <w:sz w:val="32"/>
          <w:szCs w:val="32"/>
        </w:rPr>
        <w:t>（四）承担监督所监管企业国有资产保值增值的责任，指导和监督所监管企业资本运营，建立和完善国有资产保值增值指标体系，拟订考核标准，对所监管企业国有资产的保值增值情况进行监督，承担吸引各类资本任务，负责所监管企业工资分配管理，制定所监管企业负责人收入分配政策并组织实施。</w:t>
      </w:r>
    </w:p>
    <w:p>
      <w:pPr>
        <w:spacing w:line="540" w:lineRule="exact"/>
        <w:ind w:firstLine="640" w:firstLineChars="200"/>
        <w:rPr>
          <w:rFonts w:hint="default" w:ascii="仿宋" w:hAnsi="仿宋" w:eastAsia="仿宋"/>
          <w:sz w:val="32"/>
          <w:szCs w:val="32"/>
        </w:rPr>
      </w:pPr>
      <w:r>
        <w:rPr>
          <w:rFonts w:ascii="仿宋" w:hAnsi="仿宋" w:eastAsia="仿宋"/>
          <w:sz w:val="32"/>
          <w:szCs w:val="32"/>
        </w:rPr>
        <w:t>（五）负责所监管企业领导班子建设，通过法定程序对所监管企业负责人进行任免、考核并根据其经营业绩进行奖惩，建立符合社会主义市场经济体制和现代企业制度要求的选人、用人机制，完善经营者激励和约束制度。</w:t>
      </w:r>
    </w:p>
    <w:p>
      <w:pPr>
        <w:spacing w:line="540" w:lineRule="exact"/>
        <w:ind w:firstLine="640" w:firstLineChars="200"/>
        <w:rPr>
          <w:rFonts w:hint="default" w:ascii="仿宋" w:hAnsi="仿宋" w:eastAsia="仿宋"/>
          <w:sz w:val="32"/>
          <w:szCs w:val="32"/>
        </w:rPr>
      </w:pPr>
      <w:r>
        <w:rPr>
          <w:rFonts w:ascii="仿宋" w:hAnsi="仿宋" w:eastAsia="仿宋"/>
          <w:sz w:val="32"/>
          <w:szCs w:val="32"/>
        </w:rPr>
        <w:t>（六）负责组织所监管企业上交国有资本收益，按规定参与制定区国有资本经营预算有关管理制度，负责编制区本级国有资本经营预算建议草案。</w:t>
      </w:r>
    </w:p>
    <w:p>
      <w:pPr>
        <w:spacing w:line="540" w:lineRule="exact"/>
        <w:ind w:firstLine="640" w:firstLineChars="200"/>
        <w:rPr>
          <w:rFonts w:hint="default" w:ascii="仿宋" w:hAnsi="仿宋" w:eastAsia="仿宋"/>
          <w:sz w:val="32"/>
          <w:szCs w:val="32"/>
        </w:rPr>
      </w:pPr>
      <w:r>
        <w:rPr>
          <w:rFonts w:ascii="仿宋" w:hAnsi="仿宋" w:eastAsia="仿宋"/>
          <w:sz w:val="32"/>
          <w:szCs w:val="32"/>
        </w:rPr>
        <w:t>（七）负责监督国有资产监管制度落实情况，完善出资人监督体系，加强监督协同，健全并执行国有资产损失责任追究制度和问责机制。</w:t>
      </w:r>
    </w:p>
    <w:p>
      <w:pPr>
        <w:spacing w:line="540" w:lineRule="exact"/>
        <w:ind w:firstLine="640" w:firstLineChars="200"/>
        <w:rPr>
          <w:rFonts w:hint="default" w:ascii="仿宋" w:hAnsi="仿宋" w:eastAsia="仿宋"/>
          <w:sz w:val="32"/>
          <w:szCs w:val="32"/>
        </w:rPr>
      </w:pPr>
      <w:r>
        <w:rPr>
          <w:rFonts w:ascii="仿宋" w:hAnsi="仿宋" w:eastAsia="仿宋"/>
          <w:sz w:val="32"/>
          <w:szCs w:val="32"/>
        </w:rPr>
        <w:t>（八）按照出资人职责，督促检查所监管企业贯彻落实国家、省、市安全生产方针政策及有关法律、法规、规章及标准等工作。</w:t>
      </w:r>
    </w:p>
    <w:p>
      <w:pPr>
        <w:spacing w:line="540" w:lineRule="exact"/>
        <w:ind w:firstLine="640" w:firstLineChars="200"/>
        <w:rPr>
          <w:rFonts w:hint="default" w:ascii="仿宋" w:hAnsi="仿宋" w:eastAsia="仿宋"/>
          <w:sz w:val="32"/>
          <w:szCs w:val="32"/>
        </w:rPr>
      </w:pPr>
      <w:r>
        <w:rPr>
          <w:rFonts w:ascii="仿宋" w:hAnsi="仿宋" w:eastAsia="仿宋"/>
          <w:sz w:val="32"/>
          <w:szCs w:val="32"/>
        </w:rPr>
        <w:t>（九）负责所监管企业党的组织建设、队伍建设等工作，强化所监管企业思想政治教育和理论学习工作，指导企业精神文化建设。</w:t>
      </w:r>
    </w:p>
    <w:p>
      <w:pPr>
        <w:spacing w:line="540" w:lineRule="exact"/>
        <w:ind w:firstLine="640" w:firstLineChars="200"/>
        <w:rPr>
          <w:rFonts w:hint="default" w:ascii="仿宋" w:hAnsi="仿宋" w:eastAsia="仿宋"/>
          <w:sz w:val="32"/>
          <w:szCs w:val="32"/>
        </w:rPr>
      </w:pPr>
      <w:r>
        <w:rPr>
          <w:rFonts w:ascii="仿宋" w:hAnsi="仿宋" w:eastAsia="仿宋" w:cs="宋体"/>
          <w:bCs/>
          <w:kern w:val="0"/>
          <w:sz w:val="32"/>
          <w:szCs w:val="32"/>
        </w:rPr>
        <w:t>（十）负责本单位安全生产工作。</w:t>
      </w:r>
    </w:p>
    <w:p>
      <w:pPr>
        <w:spacing w:line="540" w:lineRule="exact"/>
        <w:ind w:firstLine="640" w:firstLineChars="200"/>
        <w:rPr>
          <w:rFonts w:hint="default" w:ascii="仿宋" w:hAnsi="仿宋" w:eastAsia="仿宋"/>
          <w:sz w:val="32"/>
          <w:szCs w:val="32"/>
        </w:rPr>
      </w:pPr>
      <w:r>
        <w:rPr>
          <w:rFonts w:ascii="仿宋" w:hAnsi="仿宋" w:eastAsia="仿宋"/>
          <w:sz w:val="32"/>
          <w:szCs w:val="32"/>
        </w:rPr>
        <w:t>（十一）完成区委、区政府交办的其他任务。</w:t>
      </w:r>
    </w:p>
    <w:p>
      <w:pPr>
        <w:spacing w:line="540" w:lineRule="exact"/>
        <w:ind w:firstLine="640" w:firstLineChars="200"/>
        <w:rPr>
          <w:rFonts w:ascii="仿宋" w:hAnsi="仿宋" w:eastAsia="仿宋"/>
          <w:sz w:val="32"/>
          <w:szCs w:val="32"/>
        </w:rPr>
      </w:pPr>
      <w:r>
        <w:rPr>
          <w:rFonts w:ascii="仿宋" w:hAnsi="仿宋" w:eastAsia="仿宋"/>
          <w:sz w:val="32"/>
          <w:szCs w:val="32"/>
        </w:rPr>
        <w:t>（十二）职能转变。国资局按照政企分开以及所有权和经营权分离的原则，依法对企业国有资产进行监管，依法履行出资人职责。国资局不得直接干预企业的生产经营活动，使企业真正成为自主经营、自负盈亏的市场主体和法人实体，实现国有资产保值增值。企业应自觉接受国资局的监管，不得损害所有者权益，努力提高经济效益。</w:t>
      </w:r>
    </w:p>
    <w:p>
      <w:pPr>
        <w:spacing w:line="540" w:lineRule="exact"/>
        <w:ind w:firstLine="640" w:firstLineChars="200"/>
        <w:rPr>
          <w:rFonts w:hint="default" w:ascii="仿宋" w:hAnsi="仿宋" w:eastAsia="仿宋"/>
          <w:sz w:val="32"/>
          <w:szCs w:val="32"/>
        </w:rPr>
      </w:pPr>
    </w:p>
    <w:p>
      <w:pPr>
        <w:pStyle w:val="6"/>
        <w:spacing w:line="560" w:lineRule="exact"/>
        <w:ind w:firstLine="640"/>
        <w:outlineLvl w:val="1"/>
        <w:rPr>
          <w:rFonts w:hint="default" w:ascii="黑体" w:eastAsia="黑体" w:cs="Times New Roman"/>
          <w:sz w:val="32"/>
        </w:rPr>
      </w:pPr>
      <w:r>
        <w:rPr>
          <w:rFonts w:ascii="仿宋" w:hAnsi="仿宋" w:eastAsia="仿宋" w:cs="仿宋_GB2312"/>
          <w:sz w:val="32"/>
          <w:szCs w:val="32"/>
        </w:rPr>
        <w:t>　　</w:t>
      </w:r>
      <w:r>
        <w:rPr>
          <w:rFonts w:ascii="黑体" w:eastAsia="黑体" w:cs="Times New Roman"/>
          <w:sz w:val="32"/>
        </w:rPr>
        <w:t>二、机构设置</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纳入国资局202</w:t>
      </w: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年决算编制范围的二级预算单位包括：</w:t>
      </w:r>
    </w:p>
    <w:p>
      <w:pPr>
        <w:pStyle w:val="6"/>
        <w:spacing w:line="560" w:lineRule="exact"/>
        <w:rPr>
          <w:rFonts w:hint="default" w:ascii="仿宋_GB2312" w:eastAsia="仿宋_GB2312" w:cs="Times New Roman"/>
          <w:sz w:val="32"/>
        </w:rPr>
      </w:pPr>
      <w:r>
        <w:rPr>
          <w:rFonts w:hint="default" w:ascii="仿宋_GB2312" w:eastAsia="仿宋_GB2312" w:cs="Times New Roman"/>
          <w:sz w:val="32"/>
        </w:rPr>
        <w:t>1.</w:t>
      </w:r>
      <w:r>
        <w:rPr>
          <w:rFonts w:ascii="仿宋_GB2312" w:eastAsia="仿宋_GB2312" w:cs="Times New Roman"/>
          <w:sz w:val="32"/>
        </w:rPr>
        <w:t>辽宁省沈阳市浑南区人民政府国有资产监督管理局本级</w:t>
      </w:r>
    </w:p>
    <w:p>
      <w:pPr>
        <w:outlineLvl w:val="1"/>
        <w:rPr>
          <w:rFonts w:hint="default" w:ascii="仿宋_GB2312" w:hAnsi="仿宋_GB2312" w:eastAsia="仿宋_GB2312" w:cs="仿宋_GB2312"/>
          <w:b/>
          <w:bCs/>
          <w:sz w:val="32"/>
        </w:rPr>
      </w:pPr>
      <w:r>
        <w:rPr>
          <w:rFonts w:ascii="仿宋_GB2312" w:eastAsia="仿宋_GB2312" w:cs="Times New Roman"/>
          <w:sz w:val="32"/>
        </w:rPr>
        <w:t>2.单位无下设机构</w:t>
      </w:r>
    </w:p>
    <w:p>
      <w:pPr>
        <w:spacing w:line="540" w:lineRule="exact"/>
        <w:jc w:val="center"/>
        <w:outlineLvl w:val="0"/>
        <w:rPr>
          <w:rFonts w:hint="default" w:ascii="宋体" w:hAnsi="宋体" w:cs="Times New Roman"/>
          <w:b/>
          <w:sz w:val="36"/>
          <w:szCs w:val="36"/>
        </w:rPr>
      </w:pPr>
      <w:r>
        <w:rPr>
          <w:rFonts w:ascii="宋体" w:hAnsi="宋体" w:cs="Times New Roman"/>
          <w:b/>
          <w:sz w:val="36"/>
          <w:szCs w:val="36"/>
        </w:rPr>
        <w:t>第二部分 区政府国资局202</w:t>
      </w:r>
      <w:r>
        <w:rPr>
          <w:rFonts w:ascii="宋体" w:hAnsi="宋体"/>
          <w:b/>
          <w:sz w:val="36"/>
          <w:szCs w:val="36"/>
        </w:rPr>
        <w:t>2</w:t>
      </w:r>
      <w:r>
        <w:rPr>
          <w:rFonts w:ascii="宋体" w:hAnsi="宋体" w:cs="Times New Roman"/>
          <w:b/>
          <w:sz w:val="36"/>
          <w:szCs w:val="36"/>
        </w:rPr>
        <w:t>年度决算情况说明</w:t>
      </w:r>
    </w:p>
    <w:p>
      <w:pPr>
        <w:spacing w:line="540" w:lineRule="exact"/>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（一）收入总计158656.86万元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ascii="楷体_GB2312" w:eastAsia="楷体_GB2312"/>
          <w:b/>
          <w:sz w:val="32"/>
        </w:rPr>
        <w:t>158656.86</w:t>
      </w:r>
      <w:r>
        <w:rPr>
          <w:rFonts w:ascii="仿宋_GB2312" w:eastAsia="仿宋_GB2312"/>
          <w:sz w:val="32"/>
        </w:rPr>
        <w:t>万元，占收入总计的100%。其中：一般公共预算财政拨款收入19436.37万元，政府性基金收入131022万元，国有资本经营预算财政拨款收入708万元，其他收入11.36万元。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.其他收入11.36万元，占收入总计的0.11%。主要是三方面人员医药费等收入。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.上年结转和结余0万元，占收入总计的0%。</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与上年相比，今年收入减少64139.27万元，降低71.21%，主要原因</w:t>
      </w:r>
      <w:r>
        <w:rPr>
          <w:rFonts w:ascii="黑体" w:eastAsia="黑体"/>
          <w:sz w:val="32"/>
        </w:rPr>
        <w:t>是政府性基金收入减少。</w:t>
      </w:r>
    </w:p>
    <w:p>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（二）支出总计158656.86万元，包括：</w:t>
      </w:r>
    </w:p>
    <w:p>
      <w:pPr>
        <w:pStyle w:val="6"/>
        <w:spacing w:line="560" w:lineRule="exact"/>
        <w:ind w:firstLine="660"/>
        <w:rPr>
          <w:rFonts w:hint="default" w:ascii="仿宋_GB2312" w:eastAsia="仿宋_GB2312"/>
          <w:sz w:val="32"/>
        </w:rPr>
      </w:pPr>
      <w:r>
        <w:rPr>
          <w:rFonts w:ascii="仿宋_GB2312" w:eastAsia="仿宋_GB2312"/>
          <w:sz w:val="32"/>
        </w:rPr>
        <w:t xml:space="preserve"> 1.基本支出176.34万元，占支出总计的0.11%。主要是为保障机构正常运转、完成日常工作任务而发生的各项支出，其中：工资福利支出161.05万元，对个人和家庭的补助支出7.96万元，商品和服务支出75.37万元。</w:t>
      </w:r>
    </w:p>
    <w:p>
      <w:pPr>
        <w:pStyle w:val="6"/>
        <w:spacing w:line="560" w:lineRule="exact"/>
        <w:ind w:firstLine="660"/>
        <w:rPr>
          <w:rFonts w:hint="default" w:ascii="仿宋_GB2312" w:eastAsia="仿宋_GB2312"/>
          <w:sz w:val="32"/>
        </w:rPr>
      </w:pPr>
      <w:r>
        <w:rPr>
          <w:rFonts w:ascii="仿宋_GB2312" w:eastAsia="仿宋_GB2312"/>
          <w:sz w:val="32"/>
        </w:rPr>
        <w:t>2.项目支出158480.52万元，占支出总计的99.88%。主要包括资本性支出、对企业补助等业务支出。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与上年相比，今年支出增加17514.68万元，增长12.42%，主要原因：</w:t>
      </w:r>
      <w:r>
        <w:rPr>
          <w:rFonts w:ascii="黑体" w:eastAsia="黑体"/>
          <w:sz w:val="32"/>
        </w:rPr>
        <w:t>一是</w:t>
      </w:r>
      <w:r>
        <w:rPr>
          <w:rFonts w:ascii="仿宋_GB2312" w:eastAsia="仿宋_GB2312"/>
          <w:sz w:val="32"/>
        </w:rPr>
        <w:t>资本性的支出增加；</w:t>
      </w:r>
      <w:r>
        <w:rPr>
          <w:rFonts w:ascii="黑体" w:eastAsia="黑体"/>
          <w:sz w:val="32"/>
        </w:rPr>
        <w:t>二是</w:t>
      </w:r>
      <w:r>
        <w:rPr>
          <w:rFonts w:ascii="仿宋_GB2312" w:eastAsia="仿宋_GB2312"/>
          <w:sz w:val="32"/>
        </w:rPr>
        <w:t>对企业 补助资金增加。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与上年相比，今年结转结余0万元，增长0%，主要原因：</w:t>
      </w:r>
      <w:r>
        <w:rPr>
          <w:rFonts w:ascii="黑体" w:eastAsia="黑体"/>
          <w:sz w:val="32"/>
        </w:rPr>
        <w:t>主要是因为本年无结转结余资金</w:t>
      </w:r>
      <w:r>
        <w:rPr>
          <w:rFonts w:ascii="仿宋_GB2312" w:eastAsia="仿宋_GB2312"/>
          <w:sz w:val="32"/>
        </w:rPr>
        <w:t>。</w:t>
      </w:r>
    </w:p>
    <w:p>
      <w:pPr>
        <w:pStyle w:val="6"/>
        <w:spacing w:line="560" w:lineRule="exact"/>
        <w:ind w:firstLine="1136" w:firstLineChars="355"/>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w:t>
      </w:r>
      <w:r>
        <w:rPr>
          <w:rFonts w:ascii="楷体_GB2312" w:eastAsia="楷体_GB2312"/>
          <w:b/>
          <w:sz w:val="32"/>
        </w:rPr>
        <w:t>158656.86</w:t>
      </w:r>
      <w:r>
        <w:rPr>
          <w:rFonts w:ascii="仿宋_GB2312" w:eastAsia="仿宋_GB2312"/>
          <w:sz w:val="32"/>
        </w:rPr>
        <w:t>万元，其中：基本支出176.34万元，项目支出158480.52万元。与上年相比，财政拨款支出增加17514.68万元，增长12.42 %，主要原因：</w:t>
      </w:r>
      <w:r>
        <w:rPr>
          <w:rFonts w:ascii="黑体" w:eastAsia="黑体"/>
          <w:sz w:val="32"/>
        </w:rPr>
        <w:t>对企业补助增加</w:t>
      </w:r>
      <w:r>
        <w:rPr>
          <w:rFonts w:ascii="仿宋_GB2312" w:eastAsia="仿宋_GB2312"/>
          <w:sz w:val="32"/>
        </w:rPr>
        <w:t>。与年初预算相比，2022年度财政拨款支出完成年初预算的7490.49%，其中：基本支出完成年初预算的899.72%，项目支出完成年初预算的6590.77%。</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cs="Times New Roman"/>
          <w:sz w:val="32"/>
          <w:szCs w:val="32"/>
        </w:rPr>
      </w:pPr>
      <w:r>
        <w:rPr>
          <w:rFonts w:ascii="仿宋_GB2312" w:hAnsi="宋体" w:eastAsia="仿宋_GB2312"/>
          <w:sz w:val="32"/>
          <w:szCs w:val="32"/>
        </w:rPr>
        <w:t>2022年度一般公共预算财政拨款支出148204.15万元，按支出功能分类科目分，包括：1.一般公共服务支出478.55万元，占0.32%；2</w:t>
      </w:r>
      <w:r>
        <w:rPr>
          <w:rFonts w:ascii="仿宋_GB2312" w:hAnsi="宋体" w:eastAsia="仿宋_GB2312" w:cs="Times New Roman"/>
          <w:sz w:val="32"/>
          <w:szCs w:val="32"/>
        </w:rPr>
        <w:t>.教育支出</w:t>
      </w:r>
      <w:r>
        <w:rPr>
          <w:rFonts w:ascii="仿宋_GB2312" w:hAnsi="宋体" w:eastAsia="仿宋_GB2312"/>
          <w:sz w:val="32"/>
          <w:szCs w:val="32"/>
        </w:rPr>
        <w:t>18.03</w:t>
      </w:r>
      <w:r>
        <w:rPr>
          <w:rFonts w:ascii="仿宋_GB2312" w:hAnsi="宋体" w:eastAsia="仿宋_GB2312" w:cs="Times New Roman"/>
          <w:sz w:val="32"/>
          <w:szCs w:val="32"/>
        </w:rPr>
        <w:t>万元，占</w:t>
      </w:r>
      <w:r>
        <w:rPr>
          <w:rFonts w:ascii="仿宋_GB2312" w:hAnsi="宋体" w:eastAsia="仿宋_GB2312" w:cs="Times New Roman"/>
          <w:color w:val="000000"/>
          <w:sz w:val="32"/>
          <w:szCs w:val="32"/>
        </w:rPr>
        <w:t>0.1</w:t>
      </w:r>
      <w:r>
        <w:rPr>
          <w:rFonts w:ascii="仿宋_GB2312" w:hAnsi="宋体" w:eastAsia="仿宋_GB2312" w:cs="Times New Roman"/>
          <w:sz w:val="32"/>
          <w:szCs w:val="32"/>
        </w:rPr>
        <w:t>%；</w:t>
      </w:r>
      <w:r>
        <w:rPr>
          <w:rFonts w:ascii="仿宋_GB2312" w:hAnsi="宋体" w:eastAsia="仿宋_GB2312"/>
          <w:sz w:val="32"/>
          <w:szCs w:val="32"/>
        </w:rPr>
        <w:t>3</w:t>
      </w:r>
      <w:r>
        <w:rPr>
          <w:rFonts w:ascii="仿宋_GB2312" w:hAnsi="宋体" w:eastAsia="仿宋_GB2312" w:cs="Times New Roman"/>
          <w:sz w:val="32"/>
          <w:szCs w:val="32"/>
        </w:rPr>
        <w:t>.科学技术支出</w:t>
      </w:r>
      <w:r>
        <w:rPr>
          <w:rFonts w:ascii="仿宋_GB2312" w:hAnsi="宋体" w:eastAsia="仿宋_GB2312"/>
          <w:sz w:val="32"/>
          <w:szCs w:val="32"/>
        </w:rPr>
        <w:t>13223.77</w:t>
      </w:r>
      <w:r>
        <w:rPr>
          <w:rFonts w:ascii="仿宋_GB2312" w:hAnsi="宋体" w:eastAsia="仿宋_GB2312" w:cs="Times New Roman"/>
          <w:sz w:val="32"/>
          <w:szCs w:val="32"/>
        </w:rPr>
        <w:t>元，</w:t>
      </w:r>
      <w:r>
        <w:rPr>
          <w:rFonts w:ascii="仿宋_GB2312" w:hAnsi="宋体" w:eastAsia="仿宋_GB2312" w:cs="Times New Roman"/>
          <w:color w:val="000000"/>
          <w:sz w:val="32"/>
          <w:szCs w:val="32"/>
        </w:rPr>
        <w:t>占</w:t>
      </w:r>
      <w:r>
        <w:rPr>
          <w:rFonts w:ascii="仿宋_GB2312" w:hAnsi="宋体" w:eastAsia="仿宋_GB2312"/>
          <w:color w:val="000000"/>
          <w:sz w:val="32"/>
          <w:szCs w:val="32"/>
        </w:rPr>
        <w:t>8.92</w:t>
      </w:r>
      <w:r>
        <w:rPr>
          <w:rFonts w:ascii="仿宋_GB2312" w:hAnsi="宋体" w:eastAsia="仿宋_GB2312" w:cs="Times New Roman"/>
          <w:sz w:val="32"/>
          <w:szCs w:val="32"/>
        </w:rPr>
        <w:t>%；</w:t>
      </w:r>
      <w:r>
        <w:rPr>
          <w:rFonts w:ascii="仿宋_GB2312" w:hAnsi="宋体" w:eastAsia="仿宋_GB2312"/>
          <w:sz w:val="32"/>
          <w:szCs w:val="32"/>
        </w:rPr>
        <w:t>4</w:t>
      </w:r>
      <w:r>
        <w:rPr>
          <w:rFonts w:ascii="仿宋_GB2312" w:hAnsi="宋体" w:eastAsia="仿宋_GB2312" w:cs="Times New Roman"/>
          <w:sz w:val="32"/>
          <w:szCs w:val="32"/>
        </w:rPr>
        <w:t>.社会保障和就业支出</w:t>
      </w:r>
      <w:r>
        <w:rPr>
          <w:rFonts w:ascii="仿宋_GB2312" w:hAnsi="宋体" w:eastAsia="仿宋_GB2312"/>
          <w:sz w:val="32"/>
          <w:szCs w:val="32"/>
        </w:rPr>
        <w:t>1204.12</w:t>
      </w:r>
      <w:r>
        <w:rPr>
          <w:rFonts w:ascii="仿宋_GB2312" w:hAnsi="宋体" w:eastAsia="仿宋_GB2312" w:cs="Times New Roman"/>
          <w:sz w:val="32"/>
          <w:szCs w:val="32"/>
        </w:rPr>
        <w:t>万元，占</w:t>
      </w:r>
      <w:r>
        <w:rPr>
          <w:rFonts w:ascii="仿宋_GB2312" w:hAnsi="宋体" w:eastAsia="仿宋_GB2312"/>
          <w:color w:val="000000"/>
          <w:sz w:val="32"/>
          <w:szCs w:val="32"/>
        </w:rPr>
        <w:t>0.8</w:t>
      </w:r>
      <w:r>
        <w:rPr>
          <w:rFonts w:ascii="仿宋_GB2312" w:hAnsi="宋体" w:eastAsia="仿宋_GB2312" w:cs="Times New Roman"/>
          <w:color w:val="000000"/>
          <w:sz w:val="32"/>
          <w:szCs w:val="32"/>
        </w:rPr>
        <w:t>%</w:t>
      </w:r>
      <w:r>
        <w:rPr>
          <w:rFonts w:ascii="仿宋_GB2312" w:hAnsi="宋体" w:eastAsia="仿宋_GB2312" w:cs="Times New Roman"/>
          <w:sz w:val="32"/>
          <w:szCs w:val="32"/>
        </w:rPr>
        <w:t>；</w:t>
      </w:r>
      <w:r>
        <w:rPr>
          <w:rFonts w:ascii="仿宋_GB2312" w:hAnsi="宋体" w:eastAsia="仿宋_GB2312"/>
          <w:sz w:val="32"/>
          <w:szCs w:val="32"/>
        </w:rPr>
        <w:t>5</w:t>
      </w:r>
      <w:r>
        <w:rPr>
          <w:rFonts w:ascii="仿宋_GB2312" w:hAnsi="宋体" w:eastAsia="仿宋_GB2312" w:cs="Times New Roman"/>
          <w:sz w:val="32"/>
          <w:szCs w:val="32"/>
        </w:rPr>
        <w:t>.卫生健康支出</w:t>
      </w:r>
      <w:r>
        <w:rPr>
          <w:rFonts w:ascii="仿宋_GB2312" w:hAnsi="宋体" w:eastAsia="仿宋_GB2312"/>
          <w:sz w:val="32"/>
          <w:szCs w:val="32"/>
        </w:rPr>
        <w:t>5.67</w:t>
      </w:r>
      <w:r>
        <w:rPr>
          <w:rFonts w:ascii="仿宋_GB2312" w:hAnsi="宋体" w:eastAsia="仿宋_GB2312" w:cs="Times New Roman"/>
          <w:sz w:val="32"/>
          <w:szCs w:val="32"/>
        </w:rPr>
        <w:t>万元，占</w:t>
      </w:r>
      <w:r>
        <w:rPr>
          <w:rFonts w:ascii="仿宋_GB2312" w:hAnsi="宋体" w:eastAsia="仿宋_GB2312" w:cs="Times New Roman"/>
          <w:color w:val="000000"/>
          <w:sz w:val="32"/>
          <w:szCs w:val="32"/>
        </w:rPr>
        <w:t>0</w:t>
      </w:r>
      <w:r>
        <w:rPr>
          <w:rFonts w:ascii="仿宋_GB2312" w:hAnsi="宋体" w:eastAsia="仿宋_GB2312" w:cs="Times New Roman"/>
          <w:sz w:val="32"/>
          <w:szCs w:val="32"/>
        </w:rPr>
        <w:t>%；</w:t>
      </w:r>
      <w:r>
        <w:rPr>
          <w:rFonts w:ascii="仿宋_GB2312" w:hAnsi="宋体" w:eastAsia="仿宋_GB2312"/>
          <w:sz w:val="32"/>
          <w:szCs w:val="32"/>
        </w:rPr>
        <w:t>6</w:t>
      </w:r>
      <w:r>
        <w:rPr>
          <w:rFonts w:ascii="仿宋_GB2312" w:hAnsi="宋体" w:eastAsia="仿宋_GB2312" w:cs="Times New Roman"/>
          <w:sz w:val="32"/>
          <w:szCs w:val="32"/>
        </w:rPr>
        <w:t>.节能环保支出</w:t>
      </w:r>
      <w:r>
        <w:rPr>
          <w:rFonts w:ascii="仿宋_GB2312" w:hAnsi="宋体" w:eastAsia="仿宋_GB2312"/>
          <w:sz w:val="32"/>
          <w:szCs w:val="32"/>
        </w:rPr>
        <w:t>1174.36</w:t>
      </w:r>
      <w:r>
        <w:rPr>
          <w:rFonts w:ascii="仿宋_GB2312" w:hAnsi="宋体" w:eastAsia="仿宋_GB2312" w:cs="Times New Roman"/>
          <w:sz w:val="32"/>
          <w:szCs w:val="32"/>
        </w:rPr>
        <w:t>万元，占</w:t>
      </w:r>
      <w:r>
        <w:rPr>
          <w:rFonts w:ascii="仿宋_GB2312" w:hAnsi="宋体" w:eastAsia="仿宋_GB2312" w:cs="Times New Roman"/>
          <w:color w:val="000000"/>
          <w:sz w:val="32"/>
          <w:szCs w:val="32"/>
        </w:rPr>
        <w:t>0.</w:t>
      </w:r>
      <w:r>
        <w:rPr>
          <w:rFonts w:ascii="仿宋_GB2312" w:hAnsi="宋体" w:eastAsia="仿宋_GB2312"/>
          <w:color w:val="000000"/>
          <w:sz w:val="32"/>
          <w:szCs w:val="32"/>
        </w:rPr>
        <w:t>79</w:t>
      </w:r>
      <w:r>
        <w:rPr>
          <w:rFonts w:ascii="仿宋_GB2312" w:hAnsi="宋体" w:eastAsia="仿宋_GB2312" w:cs="Times New Roman"/>
          <w:sz w:val="32"/>
          <w:szCs w:val="32"/>
        </w:rPr>
        <w:t>%；</w:t>
      </w:r>
      <w:r>
        <w:rPr>
          <w:rFonts w:ascii="仿宋_GB2312" w:hAnsi="宋体" w:eastAsia="仿宋_GB2312"/>
          <w:sz w:val="32"/>
          <w:szCs w:val="32"/>
        </w:rPr>
        <w:t>7</w:t>
      </w:r>
      <w:r>
        <w:rPr>
          <w:rFonts w:ascii="仿宋_GB2312" w:hAnsi="宋体" w:eastAsia="仿宋_GB2312" w:cs="Times New Roman"/>
          <w:sz w:val="32"/>
          <w:szCs w:val="32"/>
        </w:rPr>
        <w:t>.城乡社区支出</w:t>
      </w:r>
      <w:r>
        <w:rPr>
          <w:rFonts w:ascii="仿宋_GB2312" w:hAnsi="宋体" w:eastAsia="仿宋_GB2312"/>
          <w:color w:val="000000"/>
          <w:sz w:val="32"/>
          <w:szCs w:val="32"/>
        </w:rPr>
        <w:t>31228.54</w:t>
      </w:r>
      <w:r>
        <w:rPr>
          <w:rFonts w:ascii="仿宋_GB2312" w:hAnsi="宋体" w:eastAsia="仿宋_GB2312" w:cs="Times New Roman"/>
          <w:sz w:val="32"/>
          <w:szCs w:val="32"/>
        </w:rPr>
        <w:t>万元，占</w:t>
      </w:r>
      <w:r>
        <w:rPr>
          <w:rFonts w:ascii="仿宋_GB2312" w:hAnsi="宋体" w:eastAsia="仿宋_GB2312"/>
          <w:color w:val="000000"/>
          <w:sz w:val="32"/>
          <w:szCs w:val="32"/>
        </w:rPr>
        <w:t>21.07</w:t>
      </w:r>
      <w:r>
        <w:rPr>
          <w:rFonts w:ascii="仿宋_GB2312" w:hAnsi="宋体" w:eastAsia="仿宋_GB2312" w:cs="Times New Roman"/>
          <w:sz w:val="32"/>
          <w:szCs w:val="32"/>
        </w:rPr>
        <w:t>%；</w:t>
      </w:r>
      <w:r>
        <w:rPr>
          <w:rFonts w:ascii="仿宋_GB2312" w:hAnsi="宋体" w:eastAsia="仿宋_GB2312"/>
          <w:sz w:val="32"/>
          <w:szCs w:val="32"/>
        </w:rPr>
        <w:t>8</w:t>
      </w:r>
      <w:r>
        <w:rPr>
          <w:rFonts w:ascii="仿宋_GB2312" w:hAnsi="宋体" w:eastAsia="仿宋_GB2312" w:cs="Times New Roman"/>
          <w:sz w:val="32"/>
          <w:szCs w:val="32"/>
        </w:rPr>
        <w:t>.农林水支出</w:t>
      </w:r>
      <w:r>
        <w:rPr>
          <w:rFonts w:ascii="仿宋_GB2312" w:hAnsi="宋体" w:eastAsia="仿宋_GB2312"/>
          <w:sz w:val="32"/>
          <w:szCs w:val="32"/>
        </w:rPr>
        <w:t>3128</w:t>
      </w:r>
      <w:r>
        <w:rPr>
          <w:rFonts w:ascii="仿宋_GB2312" w:hAnsi="宋体" w:eastAsia="仿宋_GB2312" w:cs="Times New Roman"/>
          <w:sz w:val="32"/>
          <w:szCs w:val="32"/>
        </w:rPr>
        <w:t>万元，占</w:t>
      </w:r>
      <w:r>
        <w:rPr>
          <w:rFonts w:ascii="仿宋_GB2312" w:hAnsi="宋体" w:eastAsia="仿宋_GB2312"/>
          <w:color w:val="000000"/>
          <w:sz w:val="32"/>
          <w:szCs w:val="32"/>
        </w:rPr>
        <w:t>2.11</w:t>
      </w:r>
      <w:r>
        <w:rPr>
          <w:rFonts w:ascii="仿宋_GB2312" w:hAnsi="宋体" w:eastAsia="仿宋_GB2312" w:cs="Times New Roman"/>
          <w:sz w:val="32"/>
          <w:szCs w:val="32"/>
        </w:rPr>
        <w:t>%；</w:t>
      </w:r>
      <w:r>
        <w:rPr>
          <w:rFonts w:ascii="仿宋_GB2312" w:hAnsi="宋体" w:eastAsia="仿宋_GB2312"/>
          <w:sz w:val="32"/>
          <w:szCs w:val="32"/>
        </w:rPr>
        <w:t>9</w:t>
      </w:r>
      <w:r>
        <w:rPr>
          <w:rFonts w:ascii="仿宋_GB2312" w:hAnsi="宋体" w:eastAsia="仿宋_GB2312" w:cs="Times New Roman"/>
          <w:sz w:val="32"/>
          <w:szCs w:val="32"/>
        </w:rPr>
        <w:t>.交通运输支出7000万元，占</w:t>
      </w:r>
      <w:r>
        <w:rPr>
          <w:rFonts w:ascii="仿宋_GB2312" w:hAnsi="宋体" w:eastAsia="仿宋_GB2312"/>
          <w:color w:val="000000"/>
          <w:sz w:val="32"/>
          <w:szCs w:val="32"/>
        </w:rPr>
        <w:t>4.72</w:t>
      </w:r>
      <w:r>
        <w:rPr>
          <w:rFonts w:ascii="仿宋_GB2312" w:hAnsi="宋体" w:eastAsia="仿宋_GB2312" w:cs="Times New Roman"/>
          <w:sz w:val="32"/>
          <w:szCs w:val="32"/>
        </w:rPr>
        <w:t>%；</w:t>
      </w:r>
      <w:r>
        <w:rPr>
          <w:rFonts w:ascii="仿宋_GB2312" w:hAnsi="宋体" w:eastAsia="仿宋_GB2312"/>
          <w:sz w:val="32"/>
          <w:szCs w:val="32"/>
        </w:rPr>
        <w:t>10</w:t>
      </w:r>
      <w:r>
        <w:rPr>
          <w:rFonts w:ascii="仿宋_GB2312" w:hAnsi="宋体" w:eastAsia="仿宋_GB2312" w:cs="Times New Roman"/>
          <w:sz w:val="32"/>
          <w:szCs w:val="32"/>
        </w:rPr>
        <w:t>.资源勘探工业信息等支出</w:t>
      </w:r>
      <w:r>
        <w:rPr>
          <w:rFonts w:ascii="仿宋_GB2312" w:hAnsi="宋体" w:eastAsia="仿宋_GB2312"/>
          <w:sz w:val="32"/>
          <w:szCs w:val="32"/>
        </w:rPr>
        <w:t>99234.62</w:t>
      </w:r>
      <w:r>
        <w:rPr>
          <w:rFonts w:ascii="仿宋_GB2312" w:hAnsi="宋体" w:eastAsia="仿宋_GB2312" w:cs="Times New Roman"/>
          <w:sz w:val="32"/>
          <w:szCs w:val="32"/>
        </w:rPr>
        <w:t>万元，占</w:t>
      </w:r>
      <w:r>
        <w:rPr>
          <w:rFonts w:ascii="仿宋_GB2312" w:hAnsi="宋体" w:eastAsia="仿宋_GB2312"/>
          <w:color w:val="000000"/>
          <w:sz w:val="32"/>
          <w:szCs w:val="32"/>
        </w:rPr>
        <w:t>66.95</w:t>
      </w:r>
      <w:r>
        <w:rPr>
          <w:rFonts w:ascii="仿宋_GB2312" w:hAnsi="宋体" w:eastAsia="仿宋_GB2312" w:cs="Times New Roman"/>
          <w:sz w:val="32"/>
          <w:szCs w:val="32"/>
        </w:rPr>
        <w:t>%；</w:t>
      </w:r>
      <w:r>
        <w:rPr>
          <w:rFonts w:ascii="仿宋_GB2312" w:hAnsi="宋体" w:eastAsia="仿宋_GB2312"/>
          <w:sz w:val="32"/>
          <w:szCs w:val="32"/>
        </w:rPr>
        <w:t>11</w:t>
      </w:r>
      <w:r>
        <w:rPr>
          <w:rFonts w:ascii="仿宋_GB2312" w:hAnsi="宋体" w:eastAsia="仿宋_GB2312" w:cs="Times New Roman"/>
          <w:sz w:val="32"/>
          <w:szCs w:val="32"/>
        </w:rPr>
        <w:t>.商品业务等支出</w:t>
      </w:r>
      <w:r>
        <w:rPr>
          <w:rFonts w:ascii="仿宋_GB2312" w:hAnsi="宋体" w:eastAsia="仿宋_GB2312"/>
          <w:sz w:val="32"/>
          <w:szCs w:val="32"/>
        </w:rPr>
        <w:t>3500</w:t>
      </w:r>
      <w:r>
        <w:rPr>
          <w:rFonts w:ascii="仿宋_GB2312" w:hAnsi="宋体" w:eastAsia="仿宋_GB2312" w:cs="Times New Roman"/>
          <w:sz w:val="32"/>
          <w:szCs w:val="32"/>
        </w:rPr>
        <w:t>万元，占</w:t>
      </w:r>
      <w:r>
        <w:rPr>
          <w:rFonts w:ascii="仿宋_GB2312" w:hAnsi="宋体" w:eastAsia="仿宋_GB2312"/>
          <w:color w:val="000000"/>
          <w:sz w:val="32"/>
          <w:szCs w:val="32"/>
        </w:rPr>
        <w:t>2.36</w:t>
      </w:r>
      <w:r>
        <w:rPr>
          <w:rFonts w:ascii="仿宋_GB2312" w:hAnsi="宋体" w:eastAsia="仿宋_GB2312" w:cs="Times New Roman"/>
          <w:sz w:val="32"/>
          <w:szCs w:val="32"/>
        </w:rPr>
        <w:t>%；1</w:t>
      </w:r>
      <w:r>
        <w:rPr>
          <w:rFonts w:ascii="仿宋_GB2312" w:hAnsi="宋体" w:eastAsia="仿宋_GB2312"/>
          <w:sz w:val="32"/>
          <w:szCs w:val="32"/>
        </w:rPr>
        <w:t>2</w:t>
      </w:r>
      <w:r>
        <w:rPr>
          <w:rFonts w:ascii="仿宋_GB2312" w:hAnsi="宋体" w:eastAsia="仿宋_GB2312" w:cs="Times New Roman"/>
          <w:sz w:val="32"/>
          <w:szCs w:val="32"/>
        </w:rPr>
        <w:t>.住房保障支出</w:t>
      </w:r>
      <w:r>
        <w:rPr>
          <w:rFonts w:ascii="仿宋_GB2312" w:hAnsi="宋体" w:eastAsia="仿宋_GB2312"/>
          <w:sz w:val="32"/>
          <w:szCs w:val="32"/>
        </w:rPr>
        <w:t>19.97</w:t>
      </w:r>
      <w:r>
        <w:rPr>
          <w:rFonts w:ascii="仿宋_GB2312" w:hAnsi="宋体" w:eastAsia="仿宋_GB2312" w:cs="Times New Roman"/>
          <w:sz w:val="32"/>
          <w:szCs w:val="32"/>
        </w:rPr>
        <w:t>万元，占</w:t>
      </w:r>
      <w:r>
        <w:rPr>
          <w:rFonts w:ascii="仿宋_GB2312" w:hAnsi="宋体" w:eastAsia="仿宋_GB2312" w:cs="Times New Roman"/>
          <w:color w:val="000000"/>
          <w:sz w:val="32"/>
          <w:szCs w:val="32"/>
        </w:rPr>
        <w:t>0.0</w:t>
      </w:r>
      <w:r>
        <w:rPr>
          <w:rFonts w:ascii="仿宋_GB2312" w:hAnsi="宋体" w:eastAsia="仿宋_GB2312"/>
          <w:color w:val="000000"/>
          <w:sz w:val="32"/>
          <w:szCs w:val="32"/>
        </w:rPr>
        <w:t>1</w:t>
      </w:r>
      <w:r>
        <w:rPr>
          <w:rFonts w:ascii="仿宋_GB2312" w:hAnsi="宋体" w:eastAsia="仿宋_GB2312" w:cs="Times New Roman"/>
          <w:sz w:val="32"/>
          <w:szCs w:val="32"/>
        </w:rPr>
        <w:t>%</w:t>
      </w:r>
      <w:r>
        <w:rPr>
          <w:rFonts w:ascii="仿宋_GB2312" w:hAnsi="宋体" w:eastAsia="仿宋_GB2312"/>
          <w:sz w:val="32"/>
          <w:szCs w:val="32"/>
        </w:rPr>
        <w:t xml:space="preserve">。 </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1.一般公共服务支出479.78万元，具体包括：</w:t>
      </w:r>
    </w:p>
    <w:p>
      <w:pPr>
        <w:spacing w:line="560" w:lineRule="exact"/>
        <w:ind w:firstLine="660"/>
        <w:rPr>
          <w:rFonts w:hint="default" w:ascii="仿宋_GB2312" w:hAnsi="宋体" w:eastAsia="仿宋_GB2312"/>
          <w:color w:val="FF0000"/>
          <w:sz w:val="32"/>
          <w:szCs w:val="32"/>
        </w:rPr>
      </w:pPr>
      <w:r>
        <w:rPr>
          <w:rFonts w:ascii="仿宋_GB2312" w:hAnsi="宋体" w:eastAsia="仿宋_GB2312"/>
          <w:sz w:val="32"/>
          <w:szCs w:val="32"/>
        </w:rPr>
        <w:t>（1）一般公共服务支出（类）财政事务（款）行政运行（项）478.55万元，主要是因为信访事务救济费的等支出，完成年初预算的100%。</w:t>
      </w:r>
    </w:p>
    <w:p>
      <w:pPr>
        <w:spacing w:line="540" w:lineRule="exact"/>
        <w:ind w:firstLine="660"/>
        <w:rPr>
          <w:rFonts w:hint="default" w:ascii="仿宋_GB2312" w:hAnsi="宋体" w:eastAsia="仿宋_GB2312" w:cs="Times New Roman"/>
          <w:sz w:val="32"/>
          <w:szCs w:val="32"/>
        </w:rPr>
      </w:pPr>
      <w:r>
        <w:rPr>
          <w:rFonts w:ascii="仿宋_GB2312" w:hAnsi="宋体" w:eastAsia="仿宋_GB2312"/>
          <w:sz w:val="32"/>
          <w:szCs w:val="32"/>
        </w:rPr>
        <w:t>（2）</w:t>
      </w:r>
      <w:r>
        <w:rPr>
          <w:rFonts w:ascii="仿宋_GB2312" w:hAnsi="宋体" w:eastAsia="仿宋_GB2312" w:cs="Times New Roman"/>
          <w:sz w:val="32"/>
          <w:szCs w:val="32"/>
        </w:rPr>
        <w:t>教育支出（类）其他教育支出（款）其他教育支出（项）</w:t>
      </w:r>
      <w:r>
        <w:rPr>
          <w:rFonts w:ascii="仿宋_GB2312" w:hAnsi="宋体" w:eastAsia="仿宋_GB2312"/>
          <w:sz w:val="32"/>
          <w:szCs w:val="32"/>
        </w:rPr>
        <w:t>18.03</w:t>
      </w:r>
      <w:r>
        <w:rPr>
          <w:rFonts w:ascii="仿宋_GB2312" w:hAnsi="宋体" w:eastAsia="仿宋_GB2312" w:cs="Times New Roman"/>
          <w:sz w:val="32"/>
          <w:szCs w:val="32"/>
        </w:rPr>
        <w:t>万元，完成年初预算的</w:t>
      </w:r>
      <w:r>
        <w:rPr>
          <w:rFonts w:ascii="仿宋_GB2312" w:hAnsi="宋体" w:eastAsia="仿宋_GB2312"/>
          <w:sz w:val="32"/>
          <w:szCs w:val="32"/>
        </w:rPr>
        <w:t>90.15</w:t>
      </w:r>
      <w:r>
        <w:rPr>
          <w:rFonts w:ascii="仿宋_GB2312" w:hAnsi="宋体" w:eastAsia="仿宋_GB2312" w:cs="Times New Roman"/>
          <w:sz w:val="32"/>
          <w:szCs w:val="32"/>
        </w:rPr>
        <w:t>%，主要因为对国有企业职教幼教退休教师补贴资金，按实际发生额支付。</w:t>
      </w:r>
    </w:p>
    <w:p>
      <w:pPr>
        <w:widowControl w:val="0"/>
        <w:numPr>
          <w:ilvl w:val="0"/>
          <w:numId w:val="0"/>
        </w:numPr>
        <w:jc w:val="both"/>
        <w:rPr>
          <w:rFonts w:hint="eastAsia" w:ascii="仿宋_GB2312" w:eastAsia="仿宋_GB2312"/>
          <w:color w:val="FF0000"/>
          <w:sz w:val="32"/>
          <w:szCs w:val="32"/>
          <w:lang w:val="en-US" w:eastAsia="zh-CN"/>
        </w:rPr>
      </w:pPr>
      <w:r>
        <w:rPr>
          <w:rFonts w:ascii="仿宋_GB2312" w:hAnsi="宋体" w:eastAsia="仿宋_GB2312"/>
          <w:sz w:val="32"/>
          <w:szCs w:val="32"/>
        </w:rPr>
        <w:t>（3）</w:t>
      </w:r>
      <w:r>
        <w:rPr>
          <w:rFonts w:ascii="仿宋_GB2312" w:hAnsi="宋体" w:eastAsia="仿宋_GB2312" w:cs="Times New Roman"/>
          <w:sz w:val="32"/>
          <w:szCs w:val="32"/>
        </w:rPr>
        <w:t>科学技术支出（类）基础研究（款）实验室及相关设备（项）</w:t>
      </w:r>
      <w:r>
        <w:rPr>
          <w:rFonts w:ascii="仿宋_GB2312" w:hAnsi="宋体" w:eastAsia="仿宋_GB2312"/>
          <w:sz w:val="32"/>
          <w:szCs w:val="32"/>
        </w:rPr>
        <w:t>13223.77</w:t>
      </w:r>
      <w:r>
        <w:rPr>
          <w:rFonts w:ascii="仿宋_GB2312" w:hAnsi="宋体" w:eastAsia="仿宋_GB2312" w:cs="Times New Roman"/>
          <w:sz w:val="32"/>
          <w:szCs w:val="32"/>
        </w:rPr>
        <w:t>万元，上级资金。主要因为沈阳出口加工区开发建设有限责任公司办理标厂土地证借款列支的支出。</w:t>
      </w:r>
      <w:r>
        <w:rPr>
          <w:rFonts w:hint="eastAsia" w:ascii="仿宋_GB2312" w:hAnsi="仿宋_GB2312" w:eastAsia="仿宋_GB2312" w:cs="仿宋_GB2312"/>
          <w:b w:val="0"/>
          <w:bCs/>
          <w:color w:val="FF0000"/>
          <w:sz w:val="32"/>
          <w:szCs w:val="32"/>
          <w:lang w:val="en-US" w:eastAsia="zh-CN"/>
        </w:rPr>
        <w:t>缺</w:t>
      </w:r>
      <w:r>
        <w:rPr>
          <w:rFonts w:hint="eastAsia" w:ascii="仿宋_GB2312" w:eastAsia="仿宋_GB2312"/>
          <w:color w:val="FF0000"/>
          <w:sz w:val="32"/>
          <w:szCs w:val="32"/>
          <w:lang w:eastAsia="zh-CN"/>
        </w:rPr>
        <w:t>完成年初预算的</w:t>
      </w:r>
      <w:r>
        <w:rPr>
          <w:rFonts w:hint="eastAsia" w:ascii="仿宋_GB2312" w:eastAsia="仿宋_GB2312"/>
          <w:color w:val="FF0000"/>
          <w:sz w:val="32"/>
          <w:szCs w:val="32"/>
          <w:lang w:val="en-US" w:eastAsia="zh-CN"/>
        </w:rPr>
        <w:t>XX%，缺决算数等于/大于/小于年初预算数的原因是XX</w:t>
      </w:r>
    </w:p>
    <w:p>
      <w:pPr>
        <w:spacing w:line="540" w:lineRule="exact"/>
        <w:ind w:firstLine="660"/>
        <w:rPr>
          <w:rFonts w:hint="default" w:ascii="仿宋_GB2312" w:hAnsi="宋体" w:eastAsia="仿宋_GB2312" w:cs="Times New Roman"/>
          <w:sz w:val="32"/>
          <w:szCs w:val="32"/>
        </w:rPr>
      </w:pPr>
      <w:r>
        <w:rPr>
          <w:rFonts w:ascii="仿宋_GB2312" w:hAnsi="宋体" w:eastAsia="仿宋_GB2312"/>
          <w:sz w:val="32"/>
          <w:szCs w:val="32"/>
        </w:rPr>
        <w:t>（4）</w:t>
      </w:r>
      <w:r>
        <w:rPr>
          <w:rFonts w:cs="Times New Roman"/>
          <w:color w:val="FF0000"/>
        </w:rPr>
        <w:t xml:space="preserve"> </w:t>
      </w:r>
      <w:r>
        <w:rPr>
          <w:rFonts w:ascii="仿宋_GB2312" w:hAnsi="宋体" w:eastAsia="仿宋_GB2312" w:cs="Times New Roman"/>
          <w:sz w:val="32"/>
          <w:szCs w:val="32"/>
        </w:rPr>
        <w:t>社会保障和就业支出（类）行政事业单位养老支出（款）行政单位离退休（项）</w:t>
      </w:r>
      <w:r>
        <w:rPr>
          <w:rFonts w:ascii="仿宋_GB2312" w:hAnsi="宋体" w:eastAsia="仿宋_GB2312"/>
          <w:sz w:val="32"/>
          <w:szCs w:val="32"/>
        </w:rPr>
        <w:t>1204.12</w:t>
      </w:r>
      <w:r>
        <w:rPr>
          <w:rFonts w:ascii="仿宋_GB2312" w:hAnsi="宋体" w:eastAsia="仿宋_GB2312" w:cs="Times New Roman"/>
          <w:sz w:val="32"/>
          <w:szCs w:val="32"/>
        </w:rPr>
        <w:t>万元，完成初预算的</w:t>
      </w:r>
      <w:r>
        <w:rPr>
          <w:rFonts w:ascii="仿宋_GB2312" w:hAnsi="宋体" w:eastAsia="仿宋_GB2312"/>
          <w:sz w:val="32"/>
          <w:szCs w:val="32"/>
        </w:rPr>
        <w:t>100</w:t>
      </w:r>
      <w:r>
        <w:rPr>
          <w:rFonts w:ascii="仿宋_GB2312" w:hAnsi="宋体" w:eastAsia="仿宋_GB2312" w:cs="Times New Roman"/>
          <w:sz w:val="32"/>
          <w:szCs w:val="32"/>
        </w:rPr>
        <w:t>%，主要因为是对其他改革企业补助</w:t>
      </w:r>
      <w:r>
        <w:rPr>
          <w:rFonts w:ascii="仿宋_GB2312" w:hAnsi="宋体" w:eastAsia="仿宋_GB2312"/>
          <w:sz w:val="32"/>
          <w:szCs w:val="32"/>
        </w:rPr>
        <w:t>和</w:t>
      </w:r>
      <w:r>
        <w:rPr>
          <w:rFonts w:ascii="仿宋_GB2312" w:hAnsi="宋体" w:eastAsia="仿宋_GB2312" w:cs="Times New Roman"/>
          <w:sz w:val="32"/>
          <w:szCs w:val="32"/>
        </w:rPr>
        <w:t>单位养老保险支出</w:t>
      </w:r>
      <w:r>
        <w:rPr>
          <w:rFonts w:ascii="仿宋_GB2312" w:hAnsi="宋体" w:eastAsia="仿宋_GB2312"/>
          <w:sz w:val="32"/>
          <w:szCs w:val="32"/>
        </w:rPr>
        <w:t>。</w:t>
      </w:r>
    </w:p>
    <w:p>
      <w:pPr>
        <w:spacing w:line="540" w:lineRule="exact"/>
        <w:ind w:firstLine="660"/>
        <w:rPr>
          <w:rFonts w:hint="default" w:ascii="仿宋_GB2312" w:hAnsi="宋体" w:eastAsia="仿宋_GB2312" w:cs="Times New Roman"/>
          <w:sz w:val="32"/>
          <w:szCs w:val="32"/>
        </w:rPr>
      </w:pPr>
      <w:r>
        <w:rPr>
          <w:rFonts w:ascii="仿宋_GB2312" w:hAnsi="宋体" w:eastAsia="仿宋_GB2312"/>
          <w:sz w:val="32"/>
          <w:szCs w:val="32"/>
        </w:rPr>
        <w:t>（5）</w:t>
      </w:r>
      <w:r>
        <w:rPr>
          <w:rFonts w:ascii="仿宋_GB2312" w:hAnsi="宋体" w:eastAsia="仿宋_GB2312" w:cs="Times New Roman"/>
          <w:sz w:val="32"/>
          <w:szCs w:val="32"/>
        </w:rPr>
        <w:t>卫生健康支出（类）行政事业单位医疗（款）行政单位及公务员医疗（项）</w:t>
      </w:r>
      <w:r>
        <w:rPr>
          <w:rFonts w:ascii="仿宋_GB2312" w:hAnsi="宋体" w:eastAsia="仿宋_GB2312"/>
          <w:sz w:val="32"/>
          <w:szCs w:val="32"/>
        </w:rPr>
        <w:t>5.67</w:t>
      </w:r>
      <w:r>
        <w:rPr>
          <w:rFonts w:ascii="仿宋_GB2312" w:hAnsi="宋体" w:eastAsia="仿宋_GB2312" w:cs="Times New Roman"/>
          <w:sz w:val="32"/>
          <w:szCs w:val="32"/>
        </w:rPr>
        <w:t>万元，完成年初预算的100%，主要因为是对单位医疗保险支出和公务员医疗补助</w:t>
      </w:r>
      <w:r>
        <w:rPr>
          <w:rFonts w:ascii="仿宋_GB2312" w:hAnsi="宋体" w:eastAsia="仿宋_GB2312"/>
          <w:sz w:val="32"/>
          <w:szCs w:val="32"/>
        </w:rPr>
        <w:t>支出。</w:t>
      </w:r>
    </w:p>
    <w:p>
      <w:pPr>
        <w:widowControl w:val="0"/>
        <w:numPr>
          <w:ilvl w:val="0"/>
          <w:numId w:val="0"/>
        </w:numPr>
        <w:jc w:val="both"/>
        <w:rPr>
          <w:rFonts w:hint="eastAsia" w:ascii="仿宋_GB2312" w:eastAsia="仿宋_GB2312"/>
          <w:color w:val="FF0000"/>
          <w:sz w:val="32"/>
          <w:szCs w:val="32"/>
          <w:lang w:val="en-US" w:eastAsia="zh-CN"/>
        </w:rPr>
      </w:pPr>
      <w:r>
        <w:rPr>
          <w:rFonts w:ascii="仿宋_GB2312" w:hAnsi="宋体" w:eastAsia="仿宋_GB2312"/>
          <w:sz w:val="32"/>
          <w:szCs w:val="32"/>
        </w:rPr>
        <w:t>（6）</w:t>
      </w:r>
      <w:r>
        <w:rPr>
          <w:rFonts w:cs="Times New Roman"/>
        </w:rPr>
        <w:t xml:space="preserve"> </w:t>
      </w:r>
      <w:r>
        <w:rPr>
          <w:rFonts w:ascii="仿宋_GB2312" w:hAnsi="宋体" w:eastAsia="仿宋_GB2312" w:cs="Times New Roman"/>
          <w:sz w:val="32"/>
          <w:szCs w:val="32"/>
        </w:rPr>
        <w:t>节能环保支出（类）污染防治（款）水体（项）</w:t>
      </w:r>
      <w:r>
        <w:rPr>
          <w:rFonts w:ascii="仿宋_GB2312" w:hAnsi="宋体" w:eastAsia="仿宋_GB2312"/>
          <w:sz w:val="32"/>
          <w:szCs w:val="32"/>
        </w:rPr>
        <w:t>1174.36</w:t>
      </w:r>
      <w:r>
        <w:rPr>
          <w:rFonts w:ascii="仿宋_GB2312" w:hAnsi="宋体" w:eastAsia="仿宋_GB2312" w:cs="Times New Roman"/>
          <w:sz w:val="32"/>
          <w:szCs w:val="32"/>
        </w:rPr>
        <w:t>万元，主要因为是对上夹河污水处理费</w:t>
      </w:r>
      <w:r>
        <w:rPr>
          <w:rFonts w:ascii="仿宋_GB2312" w:hAnsi="宋体" w:eastAsia="仿宋_GB2312"/>
          <w:sz w:val="32"/>
          <w:szCs w:val="32"/>
        </w:rPr>
        <w:t>支出，</w:t>
      </w:r>
      <w:r>
        <w:rPr>
          <w:rFonts w:ascii="仿宋_GB2312" w:hAnsi="宋体" w:eastAsia="仿宋_GB2312" w:cs="Times New Roman"/>
          <w:sz w:val="32"/>
          <w:szCs w:val="32"/>
        </w:rPr>
        <w:t>按实际污水处理量支出。</w:t>
      </w:r>
      <w:r>
        <w:rPr>
          <w:rFonts w:hint="eastAsia" w:ascii="仿宋_GB2312" w:hAnsi="仿宋_GB2312" w:eastAsia="仿宋_GB2312" w:cs="仿宋_GB2312"/>
          <w:b w:val="0"/>
          <w:bCs/>
          <w:color w:val="FF0000"/>
          <w:sz w:val="32"/>
          <w:szCs w:val="32"/>
          <w:lang w:val="en-US" w:eastAsia="zh-CN"/>
        </w:rPr>
        <w:t>缺</w:t>
      </w:r>
      <w:r>
        <w:rPr>
          <w:rFonts w:hint="eastAsia" w:ascii="仿宋_GB2312" w:eastAsia="仿宋_GB2312"/>
          <w:color w:val="FF0000"/>
          <w:sz w:val="32"/>
          <w:szCs w:val="32"/>
          <w:lang w:eastAsia="zh-CN"/>
        </w:rPr>
        <w:t>完成年初预算的</w:t>
      </w:r>
      <w:r>
        <w:rPr>
          <w:rFonts w:hint="eastAsia" w:ascii="仿宋_GB2312" w:eastAsia="仿宋_GB2312"/>
          <w:color w:val="FF0000"/>
          <w:sz w:val="32"/>
          <w:szCs w:val="32"/>
          <w:lang w:val="en-US" w:eastAsia="zh-CN"/>
        </w:rPr>
        <w:t>XX%，缺决算数等于/大于/小于年初预算数的原因是XX</w:t>
      </w:r>
    </w:p>
    <w:p>
      <w:pPr>
        <w:spacing w:line="540" w:lineRule="exact"/>
        <w:ind w:firstLine="660"/>
        <w:rPr>
          <w:rFonts w:hint="default" w:ascii="仿宋_GB2312" w:hAnsi="宋体" w:eastAsia="仿宋_GB2312" w:cs="Times New Roman"/>
          <w:sz w:val="32"/>
          <w:szCs w:val="32"/>
        </w:rPr>
      </w:pPr>
    </w:p>
    <w:p>
      <w:pPr>
        <w:widowControl w:val="0"/>
        <w:numPr>
          <w:ilvl w:val="0"/>
          <w:numId w:val="0"/>
        </w:numPr>
        <w:jc w:val="both"/>
        <w:rPr>
          <w:rFonts w:hint="eastAsia" w:ascii="仿宋_GB2312" w:eastAsia="仿宋_GB2312"/>
          <w:color w:val="FF0000"/>
          <w:sz w:val="32"/>
          <w:szCs w:val="32"/>
          <w:lang w:val="en-US" w:eastAsia="zh-CN"/>
        </w:rPr>
      </w:pPr>
      <w:r>
        <w:rPr>
          <w:rFonts w:ascii="仿宋_GB2312" w:hAnsi="宋体" w:eastAsia="仿宋_GB2312"/>
          <w:sz w:val="32"/>
          <w:szCs w:val="32"/>
        </w:rPr>
        <w:t>（7）</w:t>
      </w:r>
      <w:r>
        <w:rPr>
          <w:rFonts w:cs="Times New Roman"/>
        </w:rPr>
        <w:t xml:space="preserve"> </w:t>
      </w:r>
      <w:r>
        <w:rPr>
          <w:rFonts w:ascii="仿宋_GB2312" w:hAnsi="宋体" w:eastAsia="仿宋_GB2312" w:cs="Times New Roman"/>
          <w:sz w:val="32"/>
          <w:szCs w:val="32"/>
        </w:rPr>
        <w:t>城乡社区支出（类）城乡社区公共设备（款）其他城乡社区公共设备支出（项）</w:t>
      </w:r>
      <w:r>
        <w:rPr>
          <w:rFonts w:ascii="仿宋_GB2312" w:hAnsi="宋体" w:eastAsia="仿宋_GB2312"/>
          <w:color w:val="000000"/>
          <w:sz w:val="32"/>
          <w:szCs w:val="32"/>
        </w:rPr>
        <w:t>31228.54</w:t>
      </w:r>
      <w:r>
        <w:rPr>
          <w:rFonts w:ascii="仿宋_GB2312" w:hAnsi="宋体" w:eastAsia="仿宋_GB2312" w:cs="Times New Roman"/>
          <w:sz w:val="32"/>
          <w:szCs w:val="32"/>
        </w:rPr>
        <w:t>万元，主要因为是其他城乡社区环境支出</w:t>
      </w:r>
      <w:r>
        <w:rPr>
          <w:rFonts w:ascii="仿宋_GB2312" w:hAnsi="宋体" w:eastAsia="仿宋_GB2312"/>
          <w:sz w:val="32"/>
          <w:szCs w:val="32"/>
        </w:rPr>
        <w:t>和</w:t>
      </w:r>
      <w:r>
        <w:rPr>
          <w:rFonts w:ascii="仿宋_GB2312" w:hAnsi="宋体" w:eastAsia="仿宋_GB2312" w:cs="Times New Roman"/>
          <w:sz w:val="32"/>
          <w:szCs w:val="32"/>
        </w:rPr>
        <w:t>国有土地使用权出让收入安排支出</w:t>
      </w:r>
      <w:r>
        <w:rPr>
          <w:rFonts w:ascii="仿宋_GB2312" w:hAnsi="宋体" w:eastAsia="仿宋_GB2312"/>
          <w:sz w:val="32"/>
          <w:szCs w:val="32"/>
        </w:rPr>
        <w:t>及</w:t>
      </w:r>
      <w:r>
        <w:rPr>
          <w:rFonts w:ascii="仿宋_GB2312" w:hAnsi="宋体" w:eastAsia="仿宋_GB2312" w:cs="Times New Roman"/>
          <w:sz w:val="32"/>
          <w:szCs w:val="32"/>
        </w:rPr>
        <w:t>城市基础设施配套费</w:t>
      </w:r>
      <w:r>
        <w:rPr>
          <w:rFonts w:ascii="仿宋_GB2312" w:hAnsi="宋体" w:eastAsia="仿宋_GB2312"/>
          <w:sz w:val="32"/>
          <w:szCs w:val="32"/>
        </w:rPr>
        <w:t>的支出</w:t>
      </w:r>
      <w:r>
        <w:rPr>
          <w:rFonts w:ascii="仿宋_GB2312" w:hAnsi="宋体" w:eastAsia="仿宋_GB2312" w:cs="Times New Roman"/>
          <w:sz w:val="32"/>
          <w:szCs w:val="32"/>
        </w:rPr>
        <w:t>。按实际发生额支付。</w:t>
      </w:r>
      <w:r>
        <w:rPr>
          <w:rFonts w:hint="eastAsia" w:ascii="仿宋_GB2312" w:hAnsi="仿宋_GB2312" w:eastAsia="仿宋_GB2312" w:cs="仿宋_GB2312"/>
          <w:b w:val="0"/>
          <w:bCs/>
          <w:color w:val="FF0000"/>
          <w:sz w:val="32"/>
          <w:szCs w:val="32"/>
          <w:lang w:val="en-US" w:eastAsia="zh-CN"/>
        </w:rPr>
        <w:t>缺</w:t>
      </w:r>
      <w:r>
        <w:rPr>
          <w:rFonts w:hint="eastAsia" w:ascii="仿宋_GB2312" w:eastAsia="仿宋_GB2312"/>
          <w:color w:val="FF0000"/>
          <w:sz w:val="32"/>
          <w:szCs w:val="32"/>
          <w:lang w:eastAsia="zh-CN"/>
        </w:rPr>
        <w:t>完成年初预算的</w:t>
      </w:r>
      <w:r>
        <w:rPr>
          <w:rFonts w:hint="eastAsia" w:ascii="仿宋_GB2312" w:eastAsia="仿宋_GB2312"/>
          <w:color w:val="FF0000"/>
          <w:sz w:val="32"/>
          <w:szCs w:val="32"/>
          <w:lang w:val="en-US" w:eastAsia="zh-CN"/>
        </w:rPr>
        <w:t>XX%，缺决算数等于/大于/小于年初预算数的原因是XX</w:t>
      </w:r>
    </w:p>
    <w:p>
      <w:pPr>
        <w:widowControl w:val="0"/>
        <w:numPr>
          <w:ilvl w:val="0"/>
          <w:numId w:val="0"/>
        </w:numPr>
        <w:jc w:val="both"/>
        <w:rPr>
          <w:rFonts w:hint="eastAsia" w:ascii="仿宋_GB2312" w:eastAsia="仿宋_GB2312"/>
          <w:color w:val="FF0000"/>
          <w:sz w:val="32"/>
          <w:szCs w:val="32"/>
          <w:lang w:val="en-US" w:eastAsia="zh-CN"/>
        </w:rPr>
      </w:pPr>
      <w:r>
        <w:rPr>
          <w:rFonts w:ascii="仿宋_GB2312" w:hAnsi="宋体" w:eastAsia="仿宋_GB2312"/>
          <w:sz w:val="32"/>
          <w:szCs w:val="32"/>
        </w:rPr>
        <w:t>（8）</w:t>
      </w:r>
      <w:r>
        <w:rPr>
          <w:rFonts w:ascii="仿宋_GB2312" w:hAnsi="宋体" w:eastAsia="仿宋_GB2312" w:cs="Times New Roman"/>
          <w:sz w:val="32"/>
          <w:szCs w:val="32"/>
        </w:rPr>
        <w:t>农林水支出（类）普惠金融发展支出（款）其他普惠金融发展支出（项）</w:t>
      </w:r>
      <w:r>
        <w:rPr>
          <w:rFonts w:ascii="仿宋_GB2312" w:hAnsi="宋体" w:eastAsia="仿宋_GB2312"/>
          <w:sz w:val="32"/>
          <w:szCs w:val="32"/>
        </w:rPr>
        <w:t>3128</w:t>
      </w:r>
      <w:r>
        <w:rPr>
          <w:rFonts w:ascii="仿宋_GB2312" w:hAnsi="宋体" w:eastAsia="仿宋_GB2312" w:cs="Times New Roman"/>
          <w:sz w:val="32"/>
          <w:szCs w:val="32"/>
        </w:rPr>
        <w:t>万元，主要因为是普惠金融发展支出。</w:t>
      </w:r>
      <w:r>
        <w:rPr>
          <w:rFonts w:hint="eastAsia" w:ascii="仿宋_GB2312" w:hAnsi="仿宋_GB2312" w:eastAsia="仿宋_GB2312" w:cs="仿宋_GB2312"/>
          <w:b w:val="0"/>
          <w:bCs/>
          <w:color w:val="FF0000"/>
          <w:sz w:val="32"/>
          <w:szCs w:val="32"/>
          <w:lang w:val="en-US" w:eastAsia="zh-CN"/>
        </w:rPr>
        <w:t>缺</w:t>
      </w:r>
      <w:r>
        <w:rPr>
          <w:rFonts w:hint="eastAsia" w:ascii="仿宋_GB2312" w:eastAsia="仿宋_GB2312"/>
          <w:color w:val="FF0000"/>
          <w:sz w:val="32"/>
          <w:szCs w:val="32"/>
          <w:lang w:eastAsia="zh-CN"/>
        </w:rPr>
        <w:t>完成年初预算的</w:t>
      </w:r>
      <w:r>
        <w:rPr>
          <w:rFonts w:hint="eastAsia" w:ascii="仿宋_GB2312" w:eastAsia="仿宋_GB2312"/>
          <w:color w:val="FF0000"/>
          <w:sz w:val="32"/>
          <w:szCs w:val="32"/>
          <w:lang w:val="en-US" w:eastAsia="zh-CN"/>
        </w:rPr>
        <w:t>XX%，缺决算数等于/大于/小于年初预算数的原因是XX</w:t>
      </w:r>
    </w:p>
    <w:p>
      <w:pPr>
        <w:widowControl w:val="0"/>
        <w:numPr>
          <w:ilvl w:val="0"/>
          <w:numId w:val="0"/>
        </w:numPr>
        <w:jc w:val="both"/>
        <w:rPr>
          <w:rFonts w:hint="eastAsia" w:ascii="仿宋_GB2312" w:eastAsia="仿宋_GB2312"/>
          <w:color w:val="FF0000"/>
          <w:sz w:val="32"/>
          <w:szCs w:val="32"/>
          <w:lang w:val="en-US" w:eastAsia="zh-CN"/>
        </w:rPr>
      </w:pPr>
      <w:r>
        <w:rPr>
          <w:rFonts w:ascii="仿宋_GB2312" w:hAnsi="宋体" w:eastAsia="仿宋_GB2312"/>
          <w:sz w:val="32"/>
          <w:szCs w:val="32"/>
        </w:rPr>
        <w:t>（9）</w:t>
      </w:r>
      <w:r>
        <w:rPr>
          <w:rFonts w:ascii="仿宋_GB2312" w:hAnsi="宋体" w:eastAsia="仿宋_GB2312" w:cs="Times New Roman"/>
          <w:sz w:val="32"/>
          <w:szCs w:val="32"/>
        </w:rPr>
        <w:t>交通运输支出（类）其他交通运输支出（款）其他交通运输支出（项）7000万元，主要因为是有轨电车运营补贴7000万元。</w:t>
      </w:r>
      <w:r>
        <w:rPr>
          <w:rFonts w:hint="eastAsia" w:ascii="仿宋_GB2312" w:hAnsi="仿宋_GB2312" w:eastAsia="仿宋_GB2312" w:cs="仿宋_GB2312"/>
          <w:b w:val="0"/>
          <w:bCs/>
          <w:color w:val="FF0000"/>
          <w:sz w:val="32"/>
          <w:szCs w:val="32"/>
          <w:lang w:val="en-US" w:eastAsia="zh-CN"/>
        </w:rPr>
        <w:t>缺</w:t>
      </w:r>
      <w:r>
        <w:rPr>
          <w:rFonts w:hint="eastAsia" w:ascii="仿宋_GB2312" w:eastAsia="仿宋_GB2312"/>
          <w:color w:val="FF0000"/>
          <w:sz w:val="32"/>
          <w:szCs w:val="32"/>
          <w:lang w:eastAsia="zh-CN"/>
        </w:rPr>
        <w:t>完成年初预算的</w:t>
      </w:r>
      <w:r>
        <w:rPr>
          <w:rFonts w:hint="eastAsia" w:ascii="仿宋_GB2312" w:eastAsia="仿宋_GB2312"/>
          <w:color w:val="FF0000"/>
          <w:sz w:val="32"/>
          <w:szCs w:val="32"/>
          <w:lang w:val="en-US" w:eastAsia="zh-CN"/>
        </w:rPr>
        <w:t>XX%，缺决算数等于/大于/小于年初预算数的原因是XX</w:t>
      </w:r>
    </w:p>
    <w:p>
      <w:pPr>
        <w:spacing w:line="540" w:lineRule="exact"/>
        <w:ind w:firstLine="660"/>
        <w:rPr>
          <w:rFonts w:hint="default" w:ascii="仿宋_GB2312" w:hAnsi="宋体" w:eastAsia="仿宋_GB2312" w:cs="Times New Roman"/>
          <w:sz w:val="32"/>
          <w:szCs w:val="32"/>
        </w:rPr>
      </w:pPr>
      <w:r>
        <w:rPr>
          <w:rFonts w:ascii="仿宋_GB2312" w:hAnsi="宋体" w:eastAsia="仿宋_GB2312"/>
          <w:sz w:val="32"/>
          <w:szCs w:val="32"/>
        </w:rPr>
        <w:t>（10）</w:t>
      </w:r>
      <w:r>
        <w:rPr>
          <w:rFonts w:ascii="仿宋_GB2312" w:hAnsi="宋体" w:eastAsia="仿宋_GB2312" w:cs="Times New Roman"/>
          <w:sz w:val="32"/>
          <w:szCs w:val="32"/>
        </w:rPr>
        <w:t>资源勘探工业信息等支出（类）工业和信息产业监管（款）工业和信息产业监管支出（项）</w:t>
      </w:r>
      <w:r>
        <w:rPr>
          <w:rFonts w:ascii="仿宋_GB2312" w:hAnsi="宋体" w:eastAsia="仿宋_GB2312"/>
          <w:sz w:val="32"/>
          <w:szCs w:val="32"/>
        </w:rPr>
        <w:t>99234.62</w:t>
      </w:r>
      <w:r>
        <w:rPr>
          <w:rFonts w:ascii="仿宋_GB2312" w:hAnsi="宋体" w:eastAsia="仿宋_GB2312" w:cs="Times New Roman"/>
          <w:sz w:val="32"/>
          <w:szCs w:val="32"/>
        </w:rPr>
        <w:t>万元，主要因为是国资局行政运行支出；其他国有资产监管支出对个人和家庭的补助</w:t>
      </w:r>
      <w:r>
        <w:rPr>
          <w:rFonts w:ascii="仿宋_GB2312" w:hAnsi="宋体" w:eastAsia="仿宋_GB2312"/>
          <w:sz w:val="32"/>
          <w:szCs w:val="32"/>
        </w:rPr>
        <w:t>支出</w:t>
      </w:r>
      <w:r>
        <w:rPr>
          <w:rFonts w:ascii="仿宋_GB2312" w:hAnsi="宋体" w:eastAsia="仿宋_GB2312" w:cs="Times New Roman"/>
          <w:sz w:val="32"/>
          <w:szCs w:val="32"/>
        </w:rPr>
        <w:t>；国资局专项经费</w:t>
      </w:r>
      <w:r>
        <w:rPr>
          <w:rFonts w:ascii="仿宋_GB2312" w:hAnsi="宋体" w:eastAsia="仿宋_GB2312"/>
          <w:sz w:val="32"/>
          <w:szCs w:val="32"/>
        </w:rPr>
        <w:t>支出</w:t>
      </w:r>
      <w:r>
        <w:rPr>
          <w:rFonts w:ascii="仿宋_GB2312" w:hAnsi="宋体" w:eastAsia="仿宋_GB2312" w:cs="Times New Roman"/>
          <w:sz w:val="32"/>
          <w:szCs w:val="32"/>
        </w:rPr>
        <w:t>；借调人员办公经费</w:t>
      </w:r>
      <w:r>
        <w:rPr>
          <w:rFonts w:ascii="仿宋_GB2312" w:hAnsi="宋体" w:eastAsia="仿宋_GB2312"/>
          <w:sz w:val="32"/>
          <w:szCs w:val="32"/>
        </w:rPr>
        <w:t>资产</w:t>
      </w:r>
      <w:r>
        <w:rPr>
          <w:rFonts w:ascii="仿宋_GB2312" w:hAnsi="宋体" w:eastAsia="仿宋_GB2312" w:cs="Times New Roman"/>
          <w:sz w:val="32"/>
          <w:szCs w:val="32"/>
        </w:rPr>
        <w:t>；天山福园工作组经费</w:t>
      </w:r>
      <w:r>
        <w:rPr>
          <w:rFonts w:ascii="仿宋_GB2312" w:hAnsi="宋体" w:eastAsia="仿宋_GB2312"/>
          <w:sz w:val="32"/>
          <w:szCs w:val="32"/>
        </w:rPr>
        <w:t>支出</w:t>
      </w:r>
      <w:r>
        <w:rPr>
          <w:rFonts w:ascii="仿宋_GB2312" w:hAnsi="宋体" w:eastAsia="仿宋_GB2312" w:cs="Times New Roman"/>
          <w:sz w:val="32"/>
          <w:szCs w:val="32"/>
        </w:rPr>
        <w:t>；国有企业财务数据上报系统服务费、服务租赁费</w:t>
      </w:r>
      <w:r>
        <w:rPr>
          <w:rFonts w:ascii="仿宋_GB2312" w:hAnsi="宋体" w:eastAsia="仿宋_GB2312"/>
          <w:sz w:val="32"/>
          <w:szCs w:val="32"/>
        </w:rPr>
        <w:t>支出</w:t>
      </w:r>
      <w:r>
        <w:rPr>
          <w:rFonts w:ascii="仿宋_GB2312" w:hAnsi="宋体" w:eastAsia="仿宋_GB2312" w:cs="Times New Roman"/>
          <w:sz w:val="32"/>
          <w:szCs w:val="32"/>
        </w:rPr>
        <w:t>；职工绩效工资51.31万元；国企离退人员集中管理费</w:t>
      </w:r>
      <w:r>
        <w:rPr>
          <w:rFonts w:ascii="仿宋_GB2312" w:hAnsi="宋体" w:eastAsia="仿宋_GB2312"/>
          <w:sz w:val="32"/>
          <w:szCs w:val="32"/>
        </w:rPr>
        <w:t>支出</w:t>
      </w:r>
      <w:r>
        <w:rPr>
          <w:rFonts w:ascii="仿宋_GB2312" w:hAnsi="宋体" w:eastAsia="仿宋_GB2312" w:cs="Times New Roman"/>
          <w:sz w:val="32"/>
          <w:szCs w:val="32"/>
        </w:rPr>
        <w:t>；锅炉水暖维修队费用</w:t>
      </w:r>
      <w:r>
        <w:rPr>
          <w:rFonts w:ascii="仿宋_GB2312" w:hAnsi="宋体" w:eastAsia="仿宋_GB2312"/>
          <w:sz w:val="32"/>
          <w:szCs w:val="32"/>
        </w:rPr>
        <w:t>支出</w:t>
      </w:r>
      <w:r>
        <w:rPr>
          <w:rFonts w:ascii="仿宋_GB2312" w:hAnsi="宋体" w:eastAsia="仿宋_GB2312" w:cs="Times New Roman"/>
          <w:sz w:val="32"/>
          <w:szCs w:val="32"/>
        </w:rPr>
        <w:t>；国有企业贷款利息</w:t>
      </w:r>
      <w:r>
        <w:rPr>
          <w:rFonts w:ascii="仿宋_GB2312" w:hAnsi="宋体" w:eastAsia="仿宋_GB2312"/>
          <w:sz w:val="32"/>
          <w:szCs w:val="32"/>
        </w:rPr>
        <w:t>支出</w:t>
      </w:r>
      <w:r>
        <w:rPr>
          <w:rFonts w:ascii="仿宋_GB2312" w:hAnsi="宋体" w:eastAsia="仿宋_GB2312" w:cs="Times New Roman"/>
          <w:sz w:val="32"/>
          <w:szCs w:val="32"/>
        </w:rPr>
        <w:t>；决算数超出年初预算数的原因主要是临时性支出，故未列入年初预算。</w:t>
      </w:r>
    </w:p>
    <w:p>
      <w:pPr>
        <w:spacing w:line="540" w:lineRule="exact"/>
        <w:ind w:firstLine="660"/>
        <w:rPr>
          <w:rFonts w:hint="default" w:ascii="仿宋_GB2312" w:hAnsi="宋体" w:eastAsia="仿宋_GB2312" w:cs="Times New Roman"/>
          <w:sz w:val="32"/>
          <w:szCs w:val="32"/>
        </w:rPr>
      </w:pPr>
      <w:r>
        <w:rPr>
          <w:rFonts w:ascii="仿宋_GB2312" w:hAnsi="宋体" w:eastAsia="仿宋_GB2312"/>
          <w:sz w:val="32"/>
          <w:szCs w:val="32"/>
        </w:rPr>
        <w:t>（11）</w:t>
      </w:r>
      <w:r>
        <w:rPr>
          <w:rFonts w:ascii="仿宋_GB2312" w:hAnsi="宋体" w:eastAsia="仿宋_GB2312" w:cs="Times New Roman"/>
          <w:sz w:val="32"/>
          <w:szCs w:val="32"/>
        </w:rPr>
        <w:t>商品业务支出（类）其他商品业务支出（款）其他商品业务支出（项）</w:t>
      </w:r>
      <w:r>
        <w:rPr>
          <w:rFonts w:ascii="仿宋_GB2312" w:hAnsi="宋体" w:eastAsia="仿宋_GB2312"/>
          <w:sz w:val="32"/>
          <w:szCs w:val="32"/>
        </w:rPr>
        <w:t>3500</w:t>
      </w:r>
      <w:r>
        <w:rPr>
          <w:rFonts w:ascii="仿宋_GB2312" w:hAnsi="宋体" w:eastAsia="仿宋_GB2312" w:cs="Times New Roman"/>
          <w:sz w:val="32"/>
          <w:szCs w:val="32"/>
        </w:rPr>
        <w:t>万元，主要是注册资本金</w:t>
      </w:r>
      <w:r>
        <w:rPr>
          <w:rFonts w:ascii="仿宋_GB2312" w:hAnsi="宋体" w:eastAsia="仿宋_GB2312"/>
          <w:sz w:val="32"/>
          <w:szCs w:val="32"/>
        </w:rPr>
        <w:t>支出。</w:t>
      </w:r>
      <w:r>
        <w:rPr>
          <w:rFonts w:ascii="仿宋_GB2312" w:hAnsi="宋体" w:eastAsia="仿宋_GB2312" w:cs="Times New Roman"/>
          <w:sz w:val="32"/>
          <w:szCs w:val="32"/>
        </w:rPr>
        <w:t>未安排年初预算。</w:t>
      </w:r>
    </w:p>
    <w:p>
      <w:pPr>
        <w:widowControl w:val="0"/>
        <w:numPr>
          <w:ilvl w:val="0"/>
          <w:numId w:val="0"/>
        </w:numPr>
        <w:jc w:val="both"/>
        <w:rPr>
          <w:rFonts w:hint="eastAsia" w:ascii="仿宋_GB2312" w:eastAsia="仿宋_GB2312"/>
          <w:color w:val="FF0000"/>
          <w:sz w:val="32"/>
          <w:szCs w:val="32"/>
          <w:lang w:val="en-US" w:eastAsia="zh-CN"/>
        </w:rPr>
      </w:pPr>
      <w:r>
        <w:rPr>
          <w:rFonts w:ascii="仿宋_GB2312" w:hAnsi="宋体" w:eastAsia="仿宋_GB2312"/>
          <w:sz w:val="32"/>
          <w:szCs w:val="32"/>
        </w:rPr>
        <w:t>（11）</w:t>
      </w:r>
      <w:r>
        <w:rPr>
          <w:rFonts w:ascii="仿宋_GB2312" w:hAnsi="宋体" w:eastAsia="仿宋_GB2312" w:cs="Times New Roman"/>
          <w:sz w:val="32"/>
          <w:szCs w:val="32"/>
        </w:rPr>
        <w:t>住房保障支出（类）住房改革支出（款）住房公积金（项）</w:t>
      </w:r>
      <w:r>
        <w:rPr>
          <w:rFonts w:ascii="仿宋_GB2312" w:hAnsi="宋体" w:eastAsia="仿宋_GB2312"/>
          <w:sz w:val="32"/>
          <w:szCs w:val="32"/>
        </w:rPr>
        <w:t>19.97</w:t>
      </w:r>
      <w:r>
        <w:rPr>
          <w:rFonts w:ascii="仿宋_GB2312" w:hAnsi="宋体" w:eastAsia="仿宋_GB2312" w:cs="Times New Roman"/>
          <w:sz w:val="32"/>
          <w:szCs w:val="32"/>
        </w:rPr>
        <w:t>万元，主要是公积金支出。减少0.96%，调整公积金。</w:t>
      </w:r>
      <w:r>
        <w:rPr>
          <w:rFonts w:hint="eastAsia" w:ascii="仿宋_GB2312" w:hAnsi="仿宋_GB2312" w:eastAsia="仿宋_GB2312" w:cs="仿宋_GB2312"/>
          <w:b w:val="0"/>
          <w:bCs/>
          <w:color w:val="FF0000"/>
          <w:sz w:val="32"/>
          <w:szCs w:val="32"/>
          <w:lang w:val="en-US" w:eastAsia="zh-CN"/>
        </w:rPr>
        <w:t>缺</w:t>
      </w:r>
      <w:r>
        <w:rPr>
          <w:rFonts w:hint="eastAsia" w:ascii="仿宋_GB2312" w:eastAsia="仿宋_GB2312"/>
          <w:color w:val="FF0000"/>
          <w:sz w:val="32"/>
          <w:szCs w:val="32"/>
          <w:lang w:eastAsia="zh-CN"/>
        </w:rPr>
        <w:t>完成年初预算的</w:t>
      </w:r>
      <w:r>
        <w:rPr>
          <w:rFonts w:hint="eastAsia" w:ascii="仿宋_GB2312" w:eastAsia="仿宋_GB2312"/>
          <w:color w:val="FF0000"/>
          <w:sz w:val="32"/>
          <w:szCs w:val="32"/>
          <w:lang w:val="en-US" w:eastAsia="zh-CN"/>
        </w:rPr>
        <w:t>XX%，缺决算数等于/大于/小于年初预算数的原因是XX</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20</w:t>
      </w:r>
      <w:r>
        <w:rPr>
          <w:rFonts w:ascii="仿宋_GB2312" w:hAnsi="宋体" w:eastAsia="仿宋_GB2312"/>
          <w:sz w:val="32"/>
          <w:szCs w:val="32"/>
        </w:rPr>
        <w:t>22</w:t>
      </w:r>
      <w:r>
        <w:rPr>
          <w:rFonts w:ascii="仿宋_GB2312" w:hAnsi="宋体" w:eastAsia="仿宋_GB2312" w:cs="Times New Roman"/>
          <w:sz w:val="32"/>
          <w:szCs w:val="32"/>
        </w:rPr>
        <w:t>年度政府性基金预算财政拨款支出</w:t>
      </w:r>
      <w:r>
        <w:rPr>
          <w:rFonts w:ascii="仿宋_GB2312" w:hAnsi="宋体" w:eastAsia="仿宋_GB2312"/>
          <w:sz w:val="32"/>
          <w:szCs w:val="32"/>
        </w:rPr>
        <w:t>8851.35</w:t>
      </w:r>
      <w:r>
        <w:rPr>
          <w:rFonts w:ascii="仿宋_GB2312" w:hAnsi="宋体" w:eastAsia="仿宋_GB2312" w:cs="Times New Roman"/>
          <w:sz w:val="32"/>
          <w:szCs w:val="32"/>
        </w:rPr>
        <w:t>万元，按支出功能分类科目分，包括：城乡社区支出</w:t>
      </w:r>
      <w:r>
        <w:rPr>
          <w:rFonts w:ascii="仿宋_GB2312" w:hAnsi="宋体" w:eastAsia="仿宋_GB2312"/>
          <w:sz w:val="32"/>
          <w:szCs w:val="32"/>
        </w:rPr>
        <w:t>8851.35</w:t>
      </w:r>
      <w:r>
        <w:rPr>
          <w:rFonts w:ascii="仿宋_GB2312" w:hAnsi="宋体" w:eastAsia="仿宋_GB2312" w:cs="Times New Roman"/>
          <w:sz w:val="32"/>
          <w:szCs w:val="32"/>
        </w:rPr>
        <w:t>万元。</w:t>
      </w:r>
    </w:p>
    <w:p>
      <w:pPr>
        <w:spacing w:line="560" w:lineRule="exact"/>
        <w:ind w:firstLine="660"/>
        <w:rPr>
          <w:rFonts w:hint="default" w:ascii="仿宋_GB2312" w:hAnsi="宋体" w:eastAsia="仿宋_GB2312"/>
          <w:sz w:val="32"/>
          <w:szCs w:val="32"/>
        </w:rPr>
      </w:pPr>
      <w:r>
        <w:rPr>
          <w:rFonts w:ascii="仿宋_GB2312" w:hAnsi="宋体" w:eastAsia="仿宋_GB2312" w:cs="Times New Roman"/>
          <w:sz w:val="32"/>
          <w:szCs w:val="32"/>
        </w:rPr>
        <w:t>1. 城乡社区支出（类）国有土地使用权出让收入安排的支出（款）土地开发支出（项）</w:t>
      </w:r>
      <w:r>
        <w:rPr>
          <w:rFonts w:ascii="仿宋_GB2312" w:hAnsi="宋体" w:eastAsia="仿宋_GB2312"/>
          <w:sz w:val="32"/>
          <w:szCs w:val="32"/>
        </w:rPr>
        <w:t>651.35</w:t>
      </w:r>
      <w:r>
        <w:rPr>
          <w:rFonts w:ascii="仿宋_GB2312" w:hAnsi="宋体" w:eastAsia="仿宋_GB2312" w:cs="Times New Roman"/>
          <w:sz w:val="32"/>
          <w:szCs w:val="32"/>
        </w:rPr>
        <w:t>万元，主要因为及国有企业贷款利息</w:t>
      </w:r>
      <w:r>
        <w:rPr>
          <w:rFonts w:ascii="仿宋_GB2312" w:hAnsi="宋体" w:eastAsia="仿宋_GB2312"/>
          <w:sz w:val="32"/>
          <w:szCs w:val="32"/>
        </w:rPr>
        <w:t>支出</w:t>
      </w:r>
      <w:r>
        <w:rPr>
          <w:rFonts w:ascii="仿宋_GB2312" w:hAnsi="宋体" w:eastAsia="仿宋_GB2312" w:cs="Times New Roman"/>
          <w:sz w:val="32"/>
          <w:szCs w:val="32"/>
        </w:rPr>
        <w:t>；万晟新农村建设项目资金</w:t>
      </w:r>
      <w:r>
        <w:rPr>
          <w:rFonts w:ascii="仿宋_GB2312" w:hAnsi="宋体" w:eastAsia="仿宋_GB2312"/>
          <w:sz w:val="32"/>
          <w:szCs w:val="32"/>
        </w:rPr>
        <w:t>支出。</w:t>
      </w:r>
    </w:p>
    <w:p>
      <w:pPr>
        <w:spacing w:line="56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2. 城市基础设备配套费安排的支出（款）城市公共设施（项）</w:t>
      </w:r>
      <w:r>
        <w:rPr>
          <w:rFonts w:ascii="仿宋_GB2312" w:hAnsi="宋体" w:eastAsia="仿宋_GB2312"/>
          <w:sz w:val="32"/>
          <w:szCs w:val="32"/>
        </w:rPr>
        <w:t>8200万元，主要是其他国有土地使用权出让收入安排的支出。</w:t>
      </w: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2022年度国有资本经营预算财政拨款支出</w:t>
      </w:r>
      <w:r>
        <w:rPr>
          <w:rFonts w:hint="default" w:ascii="仿宋_GB2312" w:hAnsi="宋体" w:eastAsia="仿宋_GB2312"/>
          <w:sz w:val="32"/>
          <w:szCs w:val="32"/>
        </w:rPr>
        <w:t>1590</w:t>
      </w:r>
      <w:r>
        <w:rPr>
          <w:rFonts w:ascii="仿宋_GB2312" w:hAnsi="宋体" w:eastAsia="仿宋_GB2312"/>
          <w:sz w:val="32"/>
          <w:szCs w:val="32"/>
        </w:rPr>
        <w:t>万元，按支出功能分类科目分，包括：国有资本经营预算财政拨款支出</w:t>
      </w:r>
      <w:r>
        <w:rPr>
          <w:rFonts w:hint="default" w:ascii="仿宋_GB2312" w:hAnsi="宋体" w:eastAsia="仿宋_GB2312"/>
          <w:sz w:val="32"/>
          <w:szCs w:val="32"/>
        </w:rPr>
        <w:t>1590</w:t>
      </w:r>
      <w:r>
        <w:rPr>
          <w:rFonts w:ascii="仿宋_GB2312" w:hAnsi="宋体" w:eastAsia="仿宋_GB2312"/>
          <w:sz w:val="32"/>
          <w:szCs w:val="32"/>
        </w:rPr>
        <w:t>万元。</w:t>
      </w:r>
    </w:p>
    <w:p>
      <w:pPr>
        <w:numPr>
          <w:ilvl w:val="0"/>
          <w:numId w:val="2"/>
        </w:numPr>
        <w:spacing w:line="56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国有资本经营预算支出（类）解决历史遗留问题及改革成本支出（款）解决历史遗留问题及改革成本支出（项）</w:t>
      </w:r>
      <w:r>
        <w:rPr>
          <w:rFonts w:hint="default" w:ascii="仿宋_GB2312" w:hAnsi="宋体" w:eastAsia="仿宋_GB2312"/>
          <w:sz w:val="32"/>
          <w:szCs w:val="32"/>
        </w:rPr>
        <w:t>227</w:t>
      </w:r>
      <w:r>
        <w:rPr>
          <w:rFonts w:ascii="仿宋_GB2312" w:hAnsi="宋体" w:eastAsia="仿宋_GB2312" w:cs="Times New Roman"/>
          <w:sz w:val="32"/>
          <w:szCs w:val="32"/>
        </w:rPr>
        <w:t>万元，主要因为</w:t>
      </w:r>
      <w:r>
        <w:rPr>
          <w:rFonts w:ascii="仿宋_GB2312" w:hAnsi="宋体" w:eastAsia="仿宋_GB2312"/>
          <w:sz w:val="32"/>
          <w:szCs w:val="32"/>
        </w:rPr>
        <w:t>国有企业退休人员社会化管理补助支出</w:t>
      </w:r>
      <w:r>
        <w:rPr>
          <w:rFonts w:ascii="仿宋_GB2312" w:hAnsi="宋体" w:eastAsia="仿宋_GB2312" w:cs="Times New Roman"/>
          <w:sz w:val="32"/>
          <w:szCs w:val="32"/>
        </w:rPr>
        <w:t>。</w:t>
      </w:r>
    </w:p>
    <w:p>
      <w:pPr>
        <w:numPr>
          <w:ilvl w:val="0"/>
          <w:numId w:val="2"/>
        </w:numPr>
        <w:spacing w:line="560" w:lineRule="exact"/>
        <w:ind w:firstLine="660"/>
        <w:rPr>
          <w:rFonts w:hint="default" w:ascii="黑体" w:eastAsia="黑体"/>
          <w:sz w:val="32"/>
        </w:rPr>
      </w:pPr>
      <w:r>
        <w:rPr>
          <w:rFonts w:ascii="仿宋_GB2312" w:hAnsi="宋体" w:eastAsia="仿宋_GB2312" w:cs="Times New Roman"/>
          <w:sz w:val="32"/>
          <w:szCs w:val="32"/>
        </w:rPr>
        <w:t>国有资本经营预算支出（类）其他国有资本经营预算支出（款）其他国有资本经营预算支出（项）</w:t>
      </w:r>
      <w:r>
        <w:rPr>
          <w:rFonts w:ascii="仿宋_GB2312" w:hAnsi="宋体" w:eastAsia="仿宋_GB2312"/>
          <w:sz w:val="32"/>
          <w:szCs w:val="32"/>
        </w:rPr>
        <w:t>1363</w:t>
      </w:r>
      <w:r>
        <w:rPr>
          <w:rFonts w:ascii="仿宋_GB2312" w:hAnsi="宋体" w:eastAsia="仿宋_GB2312" w:cs="Times New Roman"/>
          <w:sz w:val="32"/>
          <w:szCs w:val="32"/>
        </w:rPr>
        <w:t>万元，主要因为是</w:t>
      </w:r>
      <w:r>
        <w:rPr>
          <w:rFonts w:ascii="仿宋_GB2312" w:hAnsi="宋体" w:eastAsia="仿宋_GB2312"/>
          <w:sz w:val="32"/>
          <w:szCs w:val="32"/>
        </w:rPr>
        <w:t>其他国有资本经营预算支出。</w:t>
      </w:r>
    </w:p>
    <w:p>
      <w:pPr>
        <w:spacing w:line="560" w:lineRule="exact"/>
        <w:ind w:firstLine="800" w:firstLineChars="250"/>
        <w:rPr>
          <w:rFonts w:hint="default" w:ascii="黑体" w:eastAsia="黑体"/>
          <w:sz w:val="32"/>
        </w:rPr>
      </w:pPr>
      <w:r>
        <w:rPr>
          <w:rFonts w:ascii="黑体" w:eastAsia="黑体"/>
          <w:sz w:val="32"/>
        </w:rPr>
        <w:t>三、一般公共预算财政拨款“三公”经费支出决算情况说明</w:t>
      </w:r>
      <w:r>
        <w:rPr>
          <w:rFonts w:ascii="仿宋_GB2312" w:hAnsi="仿宋_GB2312" w:eastAsia="仿宋_GB2312" w:cs="仿宋_GB2312"/>
          <w:b/>
          <w:bCs/>
          <w:color w:val="000000" w:themeColor="text1"/>
          <w:sz w:val="32"/>
          <w:szCs w:val="32"/>
        </w:rPr>
        <w:t>。</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0" w:firstLineChars="200"/>
        <w:rPr>
          <w:rFonts w:hint="default" w:ascii="仿宋_GB2312" w:hAnsi="宋体" w:eastAsia="仿宋_GB2312" w:cs="Times New Roman"/>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cs="Times New Roman"/>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176.34万元，其中：人员经费161.79万元，主要包括基本工资、津贴补贴、奖金、其他社会保障缴费、机关事业单位基本养老保险缴费、其他工资福利支出、离休费、退休费、抚恤金、生活补助、奖励金、住房公积金、采暖补贴、其他对个人和家庭补助的支出；日常公用经费14.55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2022年度机关运行经费支出14.55万元，比上年决算数增加1.43万元，增长0.11%，主要原因是人员增加。</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rPr>
      </w:pPr>
      <w:r>
        <w:rPr>
          <w:rFonts w:hAnsi="宋体" w:eastAsia="仿宋_GB2312" w:cs="仿宋_GB2312"/>
          <w:sz w:val="32"/>
          <w:szCs w:val="32"/>
        </w:rPr>
        <w:t>组织对</w:t>
      </w:r>
      <w:r>
        <w:rPr>
          <w:rFonts w:ascii="仿宋_GB2312" w:hAnsi="宋体" w:eastAsia="仿宋_GB2312" w:cs="仿宋_GB2312"/>
          <w:sz w:val="32"/>
          <w:szCs w:val="32"/>
        </w:rPr>
        <w:t>1</w:t>
      </w:r>
      <w:r>
        <w:rPr>
          <w:rFonts w:hAnsi="宋体" w:eastAsia="仿宋_GB2312" w:cs="仿宋_GB2312"/>
          <w:sz w:val="32"/>
          <w:szCs w:val="32"/>
        </w:rPr>
        <w:t>个单位开展整体绩效自评，涉及资金</w:t>
      </w:r>
      <w:r>
        <w:rPr>
          <w:rFonts w:hint="default" w:ascii="仿宋_GB2312" w:hAnsi="宋体" w:eastAsia="仿宋_GB2312" w:cs="仿宋_GB2312"/>
          <w:sz w:val="32"/>
          <w:szCs w:val="32"/>
        </w:rPr>
        <w:t>150458.37</w:t>
      </w:r>
      <w:r>
        <w:rPr>
          <w:rFonts w:hAnsi="宋体" w:eastAsia="仿宋_GB2312" w:cs="仿宋_GB2312"/>
          <w:sz w:val="32"/>
          <w:szCs w:val="32"/>
        </w:rPr>
        <w:t>万元，自评分</w:t>
      </w:r>
      <w:r>
        <w:rPr>
          <w:rFonts w:hint="eastAsia" w:ascii="仿宋_GB2312" w:hAnsi="宋体" w:eastAsia="仿宋_GB2312" w:cs="仿宋_GB2312"/>
          <w:sz w:val="32"/>
          <w:szCs w:val="32"/>
          <w:lang w:val="en-US" w:eastAsia="zh-CN"/>
        </w:rPr>
        <w:t>92.07</w:t>
      </w:r>
      <w:r>
        <w:rPr>
          <w:rFonts w:hAnsi="宋体" w:eastAsia="仿宋_GB2312" w:cs="仿宋_GB2312"/>
          <w:sz w:val="32"/>
          <w:szCs w:val="32"/>
        </w:rPr>
        <w:t>分。《部门（单位）整体绩效自评表》见附件。</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本单位在2022年度省直部门决算中反映</w:t>
      </w:r>
      <w:r>
        <w:rPr>
          <w:rFonts w:ascii="仿宋" w:hAnsi="仿宋" w:eastAsia="仿宋"/>
          <w:sz w:val="32"/>
        </w:rPr>
        <w:t>城维专项</w:t>
      </w:r>
      <w:r>
        <w:rPr>
          <w:rFonts w:ascii="仿宋_GB2312" w:hAnsi="宋体" w:eastAsia="仿宋_GB2312" w:cs="仿宋_GB2312"/>
          <w:sz w:val="32"/>
          <w:szCs w:val="32"/>
        </w:rPr>
        <w:t>、棚户区改造支出等6个项目绩效自评结果。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（1）“城维专项”项目自评综述：根据年初设定的绩效目标，项目自评得分99分。项目全年预算数为1200万元，执行数为1110万元，完成预算的84%。项目绩效目标完成情况：</w:t>
      </w:r>
      <w:r>
        <w:rPr>
          <w:rFonts w:ascii="黑体" w:hAnsi="宋体" w:eastAsia="黑体" w:cs="黑体"/>
          <w:sz w:val="32"/>
          <w:szCs w:val="32"/>
        </w:rPr>
        <w:t>按照项目进展实际支付1110万元</w:t>
      </w:r>
      <w:r>
        <w:rPr>
          <w:rFonts w:ascii="仿宋_GB2312" w:hAnsi="宋体" w:eastAsia="仿宋_GB2312" w:cs="仿宋_GB2312"/>
          <w:sz w:val="32"/>
          <w:szCs w:val="32"/>
        </w:rPr>
        <w:t>。发现的主要问题及原因：</w:t>
      </w:r>
      <w:r>
        <w:rPr>
          <w:rFonts w:ascii="黑体" w:hAnsi="宋体" w:eastAsia="黑体" w:cs="黑体"/>
          <w:sz w:val="32"/>
          <w:szCs w:val="32"/>
        </w:rPr>
        <w:t>此项目未发现问题</w:t>
      </w:r>
      <w:r>
        <w:rPr>
          <w:rFonts w:ascii="仿宋_GB2312" w:hAnsi="宋体" w:eastAsia="仿宋_GB2312" w:cs="仿宋_GB2312"/>
          <w:sz w:val="32"/>
          <w:szCs w:val="32"/>
        </w:rPr>
        <w:t>。下一步改进措施：</w:t>
      </w:r>
      <w:r>
        <w:rPr>
          <w:rFonts w:ascii="黑体" w:hAnsi="宋体" w:eastAsia="黑体" w:cs="黑体"/>
          <w:sz w:val="32"/>
          <w:szCs w:val="32"/>
        </w:rPr>
        <w:t>无</w:t>
      </w:r>
      <w:r>
        <w:rPr>
          <w:rFonts w:ascii="仿宋_GB2312" w:hAnsi="宋体" w:eastAsia="仿宋_GB2312" w:cs="仿宋_GB2312"/>
          <w:sz w:val="32"/>
          <w:szCs w:val="32"/>
        </w:rPr>
        <w:t>。</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（2）“政府投资项目支出”项目自评综述：根据年初设定的绩效目标，项目自评得分97分。项目全年预算数为6618万元，执行数为4968万元，完成预算的75%。项目绩效目标完成情况：</w:t>
      </w:r>
      <w:r>
        <w:rPr>
          <w:rFonts w:ascii="黑体" w:hAnsi="宋体" w:eastAsia="黑体" w:cs="黑体"/>
          <w:sz w:val="32"/>
          <w:szCs w:val="32"/>
        </w:rPr>
        <w:t>按照项目进展实际支付4968万元</w:t>
      </w:r>
      <w:r>
        <w:rPr>
          <w:rFonts w:ascii="仿宋_GB2312" w:hAnsi="宋体" w:eastAsia="仿宋_GB2312" w:cs="仿宋_GB2312"/>
          <w:sz w:val="32"/>
          <w:szCs w:val="32"/>
        </w:rPr>
        <w:t>。发现的主要问题及原因：</w:t>
      </w:r>
      <w:r>
        <w:rPr>
          <w:rFonts w:ascii="黑体" w:hAnsi="宋体" w:eastAsia="黑体" w:cs="黑体"/>
          <w:sz w:val="32"/>
          <w:szCs w:val="32"/>
        </w:rPr>
        <w:t>此项目未发现问题</w:t>
      </w:r>
      <w:r>
        <w:rPr>
          <w:rFonts w:ascii="仿宋_GB2312" w:hAnsi="宋体" w:eastAsia="仿宋_GB2312" w:cs="仿宋_GB2312"/>
          <w:sz w:val="32"/>
          <w:szCs w:val="32"/>
        </w:rPr>
        <w:t>。下一步改进措施：</w:t>
      </w:r>
      <w:r>
        <w:rPr>
          <w:rFonts w:ascii="黑体" w:hAnsi="宋体" w:eastAsia="黑体" w:cs="黑体"/>
          <w:sz w:val="32"/>
          <w:szCs w:val="32"/>
        </w:rPr>
        <w:t>无</w:t>
      </w:r>
      <w:r>
        <w:rPr>
          <w:rFonts w:ascii="仿宋_GB2312" w:hAnsi="宋体" w:eastAsia="仿宋_GB2312" w:cs="仿宋_GB2312"/>
          <w:sz w:val="32"/>
          <w:szCs w:val="32"/>
        </w:rPr>
        <w:t>。</w:t>
      </w:r>
    </w:p>
    <w:p>
      <w:pPr>
        <w:widowControl/>
        <w:spacing w:line="520" w:lineRule="exact"/>
        <w:ind w:firstLine="640" w:firstLineChars="200"/>
        <w:jc w:val="left"/>
        <w:rPr>
          <w:rFonts w:hint="default" w:ascii="黑体" w:hAnsi="宋体" w:eastAsia="黑体" w:cs="黑体"/>
          <w:sz w:val="32"/>
          <w:szCs w:val="32"/>
        </w:rPr>
      </w:pPr>
      <w:r>
        <w:rPr>
          <w:rFonts w:ascii="仿宋_GB2312" w:hAnsi="宋体" w:eastAsia="仿宋_GB2312" w:cs="仿宋_GB2312"/>
          <w:sz w:val="32"/>
          <w:szCs w:val="32"/>
        </w:rPr>
        <w:t>（3）“国有企业运营补助”项目自评综述：根据年初设定的绩效目标，项目自评得分95分。项目全年预算数为22300万元，执行数为11250万元，完成预算的50%。项目绩效目标完成情况：</w:t>
      </w:r>
      <w:r>
        <w:rPr>
          <w:rFonts w:ascii="黑体" w:hAnsi="宋体" w:eastAsia="黑体" w:cs="黑体"/>
          <w:sz w:val="32"/>
          <w:szCs w:val="32"/>
        </w:rPr>
        <w:t>按照项目进展实际支付11250万元</w:t>
      </w:r>
      <w:r>
        <w:rPr>
          <w:rFonts w:ascii="仿宋_GB2312" w:hAnsi="宋体" w:eastAsia="仿宋_GB2312" w:cs="仿宋_GB2312"/>
          <w:sz w:val="32"/>
          <w:szCs w:val="32"/>
        </w:rPr>
        <w:t>。发现的主要问题及原因：</w:t>
      </w:r>
      <w:r>
        <w:rPr>
          <w:rFonts w:ascii="黑体" w:hAnsi="宋体" w:eastAsia="黑体" w:cs="黑体"/>
          <w:sz w:val="32"/>
          <w:szCs w:val="32"/>
        </w:rPr>
        <w:t>此项目未发现问题</w:t>
      </w:r>
      <w:r>
        <w:rPr>
          <w:rFonts w:ascii="仿宋_GB2312" w:hAnsi="宋体" w:eastAsia="仿宋_GB2312" w:cs="仿宋_GB2312"/>
          <w:sz w:val="32"/>
          <w:szCs w:val="32"/>
        </w:rPr>
        <w:t>。下一步改进措施：</w:t>
      </w:r>
      <w:r>
        <w:rPr>
          <w:rFonts w:ascii="黑体" w:hAnsi="宋体" w:eastAsia="黑体" w:cs="黑体"/>
          <w:sz w:val="32"/>
          <w:szCs w:val="32"/>
        </w:rPr>
        <w:t>无。</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（4）“棚户区改造支出”项目自评综述：根据年初设定的绩效目标，项目自评得分99分。项目全年预算数为5389万元，执行数为5370.36万元，完成预算的99%。项目绩效目标完成情况：</w:t>
      </w:r>
      <w:r>
        <w:rPr>
          <w:rFonts w:ascii="黑体" w:hAnsi="宋体" w:eastAsia="黑体" w:cs="黑体"/>
          <w:sz w:val="32"/>
          <w:szCs w:val="32"/>
        </w:rPr>
        <w:t>按照项目进展实际支付</w:t>
      </w:r>
      <w:r>
        <w:rPr>
          <w:rFonts w:ascii="仿宋_GB2312" w:hAnsi="宋体" w:eastAsia="仿宋_GB2312" w:cs="仿宋_GB2312"/>
          <w:sz w:val="32"/>
          <w:szCs w:val="32"/>
        </w:rPr>
        <w:t>5370.36</w:t>
      </w:r>
      <w:r>
        <w:rPr>
          <w:rFonts w:ascii="黑体" w:hAnsi="宋体" w:eastAsia="黑体" w:cs="黑体"/>
          <w:sz w:val="32"/>
          <w:szCs w:val="32"/>
        </w:rPr>
        <w:t>万元</w:t>
      </w:r>
      <w:r>
        <w:rPr>
          <w:rFonts w:ascii="仿宋_GB2312" w:hAnsi="宋体" w:eastAsia="仿宋_GB2312" w:cs="仿宋_GB2312"/>
          <w:sz w:val="32"/>
          <w:szCs w:val="32"/>
        </w:rPr>
        <w:t>。发现的主要问题及原因：</w:t>
      </w:r>
      <w:r>
        <w:rPr>
          <w:rFonts w:ascii="黑体" w:hAnsi="宋体" w:eastAsia="黑体" w:cs="黑体"/>
          <w:sz w:val="32"/>
          <w:szCs w:val="32"/>
        </w:rPr>
        <w:t>此项目未发现问题</w:t>
      </w:r>
      <w:r>
        <w:rPr>
          <w:rFonts w:ascii="仿宋_GB2312" w:hAnsi="宋体" w:eastAsia="仿宋_GB2312" w:cs="仿宋_GB2312"/>
          <w:sz w:val="32"/>
          <w:szCs w:val="32"/>
        </w:rPr>
        <w:t>。下一步改进措施：</w:t>
      </w:r>
      <w:r>
        <w:rPr>
          <w:rFonts w:ascii="黑体" w:hAnsi="宋体" w:eastAsia="黑体" w:cs="黑体"/>
          <w:sz w:val="32"/>
          <w:szCs w:val="32"/>
        </w:rPr>
        <w:t>无。</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（5）“偿还以前年度工程欠款及化解历史遗留问题”项目自评综述：根据年初设定的绩效目标，项目自评得分95分。项目全年预算数为</w:t>
      </w:r>
      <w:r>
        <w:rPr>
          <w:rFonts w:hint="default" w:ascii="仿宋_GB2312" w:hAnsi="宋体" w:eastAsia="仿宋_GB2312" w:cs="仿宋_GB2312"/>
          <w:sz w:val="32"/>
          <w:szCs w:val="32"/>
        </w:rPr>
        <w:t>41400</w:t>
      </w:r>
      <w:r>
        <w:rPr>
          <w:rFonts w:ascii="仿宋_GB2312" w:hAnsi="宋体" w:eastAsia="仿宋_GB2312" w:cs="仿宋_GB2312"/>
          <w:sz w:val="32"/>
          <w:szCs w:val="32"/>
        </w:rPr>
        <w:t>万元，执行数为</w:t>
      </w:r>
      <w:r>
        <w:rPr>
          <w:rFonts w:hint="default" w:ascii="仿宋_GB2312" w:hAnsi="宋体" w:eastAsia="仿宋_GB2312" w:cs="仿宋_GB2312"/>
          <w:sz w:val="32"/>
          <w:szCs w:val="32"/>
        </w:rPr>
        <w:t>22146.5</w:t>
      </w:r>
      <w:r>
        <w:rPr>
          <w:rFonts w:ascii="仿宋_GB2312" w:hAnsi="宋体" w:eastAsia="仿宋_GB2312" w:cs="仿宋_GB2312"/>
          <w:sz w:val="32"/>
          <w:szCs w:val="32"/>
        </w:rPr>
        <w:t>万元，完成预算的53%。项目绩效目标完成情况：</w:t>
      </w:r>
      <w:r>
        <w:rPr>
          <w:rFonts w:ascii="黑体" w:hAnsi="宋体" w:eastAsia="黑体" w:cs="黑体"/>
          <w:sz w:val="32"/>
          <w:szCs w:val="32"/>
        </w:rPr>
        <w:t>按照项目进展实际报销支付22146.5万元</w:t>
      </w:r>
      <w:r>
        <w:rPr>
          <w:rFonts w:ascii="仿宋_GB2312" w:hAnsi="宋体" w:eastAsia="仿宋_GB2312" w:cs="仿宋_GB2312"/>
          <w:sz w:val="32"/>
          <w:szCs w:val="32"/>
        </w:rPr>
        <w:t>。发现的主要问题及原因：</w:t>
      </w:r>
      <w:r>
        <w:rPr>
          <w:rFonts w:ascii="黑体" w:hAnsi="宋体" w:eastAsia="黑体" w:cs="黑体"/>
          <w:sz w:val="32"/>
          <w:szCs w:val="32"/>
        </w:rPr>
        <w:t>此项目未发现问题</w:t>
      </w:r>
      <w:r>
        <w:rPr>
          <w:rFonts w:ascii="仿宋_GB2312" w:hAnsi="宋体" w:eastAsia="仿宋_GB2312" w:cs="仿宋_GB2312"/>
          <w:sz w:val="32"/>
          <w:szCs w:val="32"/>
        </w:rPr>
        <w:t>。下一步改进措施：</w:t>
      </w:r>
      <w:r>
        <w:rPr>
          <w:rFonts w:ascii="黑体" w:hAnsi="宋体" w:eastAsia="黑体" w:cs="黑体"/>
          <w:sz w:val="32"/>
          <w:szCs w:val="32"/>
        </w:rPr>
        <w:t>无。</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（6）“土地开发支出”项目自评综述：根据年初设定的绩效目标，项目自评得分97分。项目全年预算数为22300万元，执行数为11250万元，完成预算的74%。项目绩效目标完成情况：按照项</w:t>
      </w:r>
      <w:r>
        <w:rPr>
          <w:rFonts w:ascii="黑体" w:hAnsi="宋体" w:eastAsia="黑体" w:cs="黑体"/>
          <w:sz w:val="32"/>
          <w:szCs w:val="32"/>
        </w:rPr>
        <w:t>目进展实际支付50014万元</w:t>
      </w:r>
      <w:r>
        <w:rPr>
          <w:rFonts w:ascii="仿宋_GB2312" w:hAnsi="宋体" w:eastAsia="仿宋_GB2312" w:cs="仿宋_GB2312"/>
          <w:sz w:val="32"/>
          <w:szCs w:val="32"/>
        </w:rPr>
        <w:t>。发现的主要问题及原因：</w:t>
      </w:r>
      <w:r>
        <w:rPr>
          <w:rFonts w:ascii="黑体" w:hAnsi="宋体" w:eastAsia="黑体" w:cs="黑体"/>
          <w:sz w:val="32"/>
          <w:szCs w:val="32"/>
        </w:rPr>
        <w:t>此项目未发现问题</w:t>
      </w:r>
      <w:r>
        <w:rPr>
          <w:rFonts w:ascii="仿宋_GB2312" w:hAnsi="宋体" w:eastAsia="仿宋_GB2312" w:cs="仿宋_GB2312"/>
          <w:sz w:val="32"/>
          <w:szCs w:val="32"/>
        </w:rPr>
        <w:t>。下一步改进措施：</w:t>
      </w:r>
      <w:r>
        <w:rPr>
          <w:rFonts w:ascii="黑体" w:hAnsi="宋体" w:eastAsia="黑体" w:cs="黑体"/>
          <w:sz w:val="32"/>
          <w:szCs w:val="32"/>
        </w:rPr>
        <w:t>无</w:t>
      </w:r>
      <w:r>
        <w:rPr>
          <w:rFonts w:ascii="仿宋_GB2312" w:hAnsi="宋体" w:eastAsia="仿宋_GB2312" w:cs="仿宋_GB2312"/>
          <w:sz w:val="32"/>
          <w:szCs w:val="32"/>
        </w:rPr>
        <w:t>。</w:t>
      </w: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pPr>
        <w:widowControl/>
        <w:spacing w:line="520" w:lineRule="exact"/>
        <w:ind w:firstLine="640" w:firstLineChars="200"/>
        <w:jc w:val="left"/>
        <w:rPr>
          <w:rFonts w:hint="default" w:ascii="仿宋_GB2312" w:hAnsi="宋体" w:eastAsia="仿宋_GB2312" w:cs="仿宋_GB2312"/>
          <w:sz w:val="32"/>
          <w:szCs w:val="32"/>
        </w:rPr>
      </w:pPr>
    </w:p>
    <w:p>
      <w:pPr>
        <w:widowControl/>
        <w:numPr>
          <w:ilvl w:val="0"/>
          <w:numId w:val="2"/>
        </w:numPr>
        <w:spacing w:line="520" w:lineRule="exact"/>
        <w:ind w:left="0" w:leftChars="0" w:firstLine="660" w:firstLineChars="0"/>
        <w:jc w:val="left"/>
        <w:rPr>
          <w:rFonts w:ascii="仿宋_GB2312" w:hAnsi="宋体" w:eastAsia="仿宋_GB2312" w:cs="仿宋_GB2312"/>
          <w:b/>
          <w:bCs/>
          <w:sz w:val="32"/>
          <w:szCs w:val="32"/>
        </w:rPr>
      </w:pPr>
      <w:r>
        <w:rPr>
          <w:rFonts w:ascii="仿宋_GB2312" w:hAnsi="宋体" w:eastAsia="仿宋_GB2312" w:cs="仿宋_GB2312"/>
          <w:b/>
          <w:bCs/>
          <w:sz w:val="32"/>
          <w:szCs w:val="32"/>
        </w:rPr>
        <w:t>部门评价结果：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管理要求，本单位组织对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6个（其中：一般公共预算项目5个，政府性基金预算项目0个，国有资本经营预算项目1个），涉及资金94858.86万元（其中：一般公共预算资金93748.86万元，政府性基金预算资金0万元，国有资本经营预算资金1110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%，自评平均分（开展绩效自评的项目分数总和/开展绩效自评的项目数）</w:t>
      </w:r>
      <w:r>
        <w:rPr>
          <w:rFonts w:ascii="仿宋_GB2312" w:hAnsi="宋体" w:eastAsia="仿宋_GB2312" w:cs="仿宋_GB2312"/>
          <w:sz w:val="32"/>
          <w:szCs w:val="32"/>
        </w:rPr>
        <w:t>97分。</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本单位</w:t>
      </w:r>
      <w:r>
        <w:rPr>
          <w:rFonts w:ascii="仿宋" w:hAnsi="仿宋" w:eastAsia="仿宋"/>
          <w:sz w:val="32"/>
        </w:rPr>
        <w:t>组织对“城维专项”“</w:t>
      </w:r>
      <w:r>
        <w:rPr>
          <w:rFonts w:ascii="仿宋_GB2312" w:hAnsi="宋体" w:eastAsia="仿宋_GB2312" w:cs="仿宋_GB2312"/>
          <w:sz w:val="32"/>
          <w:szCs w:val="32"/>
        </w:rPr>
        <w:t>棚户区改造支出</w:t>
      </w:r>
      <w:r>
        <w:rPr>
          <w:rFonts w:ascii="仿宋" w:hAnsi="仿宋" w:eastAsia="仿宋"/>
          <w:sz w:val="32"/>
        </w:rPr>
        <w:t>”等</w:t>
      </w:r>
      <w:r>
        <w:rPr>
          <w:rFonts w:ascii="仿宋_GB2312" w:hAnsi="宋体" w:eastAsia="仿宋_GB2312" w:cs="仿宋_GB2312"/>
          <w:sz w:val="32"/>
          <w:szCs w:val="32"/>
        </w:rPr>
        <w:t>6</w:t>
      </w:r>
      <w:r>
        <w:rPr>
          <w:rFonts w:ascii="仿宋" w:hAnsi="仿宋" w:eastAsia="仿宋"/>
          <w:sz w:val="32"/>
        </w:rPr>
        <w:t>个项目开展了部门评价，</w:t>
      </w:r>
      <w:r>
        <w:rPr>
          <w:rFonts w:hAnsi="宋体" w:eastAsia="仿宋_GB2312" w:cs="仿宋_GB2312"/>
          <w:sz w:val="32"/>
          <w:szCs w:val="32"/>
        </w:rPr>
        <w:t>涉及资金</w:t>
      </w:r>
      <w:r>
        <w:rPr>
          <w:rFonts w:ascii="仿宋_GB2312" w:hAnsi="宋体" w:eastAsia="仿宋_GB2312" w:cs="仿宋_GB2312"/>
          <w:sz w:val="32"/>
          <w:szCs w:val="32"/>
        </w:rPr>
        <w:t>94858.86</w:t>
      </w:r>
      <w:r>
        <w:rPr>
          <w:rFonts w:hAnsi="宋体" w:eastAsia="仿宋_GB2312" w:cs="仿宋_GB2312"/>
          <w:sz w:val="32"/>
          <w:szCs w:val="32"/>
        </w:rPr>
        <w:t>万元</w:t>
      </w:r>
      <w:r>
        <w:rPr>
          <w:rFonts w:ascii="仿宋_GB2312" w:hAnsi="宋体" w:eastAsia="仿宋_GB2312" w:cs="仿宋_GB2312"/>
          <w:sz w:val="32"/>
          <w:szCs w:val="32"/>
        </w:rPr>
        <w:t>（其中：一般公共预算资金93748.86万元，政府性基金预算资金0万元，国有资本经营预算资金1110万元）</w:t>
      </w:r>
      <w:r>
        <w:rPr>
          <w:rFonts w:hAnsi="宋体" w:eastAsia="仿宋_GB2312" w:cs="仿宋_GB2312"/>
          <w:sz w:val="32"/>
          <w:szCs w:val="32"/>
        </w:rPr>
        <w:t>。从评价来看，本单位围绕各个项目进行了预算项目绩效目标自评工作，自评真实、填写齐全，对预算项目绩效目标完成情况良好，全面完成了各项指标任务。</w:t>
      </w:r>
    </w:p>
    <w:p>
      <w:pPr>
        <w:widowControl/>
        <w:numPr>
          <w:ilvl w:val="0"/>
          <w:numId w:val="0"/>
        </w:numPr>
        <w:spacing w:line="520" w:lineRule="exact"/>
        <w:ind w:firstLine="640" w:firstLineChars="200"/>
        <w:jc w:val="left"/>
        <w:rPr>
          <w:rFonts w:hint="default" w:ascii="仿宋_GB2312" w:hAnsi="宋体" w:eastAsia="仿宋_GB2312" w:cs="仿宋_GB2312"/>
          <w:b w:val="0"/>
          <w:bCs w:val="0"/>
          <w:sz w:val="32"/>
          <w:szCs w:val="32"/>
        </w:rPr>
      </w:pPr>
      <w:r>
        <w:rPr>
          <w:rFonts w:ascii="仿宋_GB2312" w:hAnsi="宋体" w:eastAsia="仿宋_GB2312" w:cs="仿宋_GB2312"/>
          <w:b w:val="0"/>
          <w:bCs w:val="0"/>
          <w:sz w:val="32"/>
          <w:szCs w:val="32"/>
        </w:rPr>
        <w:t>在工作中财政拨付资金要及时支付，保证工作顺利进行，对收回企业收益资金及时上缴</w:t>
      </w:r>
    </w:p>
    <w:p>
      <w:pPr>
        <w:widowControl/>
        <w:spacing w:line="520" w:lineRule="exact"/>
        <w:ind w:firstLine="643" w:firstLineChars="200"/>
        <w:jc w:val="left"/>
        <w:rPr>
          <w:rFonts w:hint="default"/>
          <w:sz w:val="32"/>
          <w:szCs w:val="32"/>
        </w:rPr>
      </w:pPr>
      <w:r>
        <w:rPr>
          <w:rFonts w:ascii="仿宋_GB2312" w:hAnsi="宋体" w:eastAsia="仿宋_GB2312" w:cs="仿宋_GB2312"/>
          <w:b/>
          <w:bCs/>
          <w:sz w:val="32"/>
          <w:szCs w:val="32"/>
        </w:rPr>
        <w:t>4.财政评价结果：项目绩效运行监控效果较好，类似项目财政将继续安排，（如有偏差，望你单位针对偏差原因及时整改），用好财政资金，发挥资金效益。</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color w:val="000000" w:themeColor="text1"/>
          <w:sz w:val="36"/>
        </w:rPr>
      </w:pPr>
      <w:r>
        <w:rPr>
          <w:rFonts w:ascii="仿宋_GB2312" w:hAnsi="仿宋_GB2312" w:eastAsia="仿宋_GB2312" w:cs="仿宋_GB2312"/>
          <w:b/>
          <w:sz w:val="52"/>
          <w:szCs w:val="52"/>
        </w:rPr>
        <w:t>第四部分</w:t>
      </w:r>
      <w:r>
        <w:rPr>
          <w:rFonts w:cs="宋体"/>
          <w:b/>
          <w:bCs/>
          <w:color w:val="000000" w:themeColor="text1"/>
          <w:sz w:val="52"/>
          <w:szCs w:val="52"/>
        </w:rPr>
        <w:t>沈阳市浑南区人民政府国有资产监督管理局</w:t>
      </w:r>
    </w:p>
    <w:p>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3"/>
        </w:numPr>
        <w:jc w:val="center"/>
        <w:rPr>
          <w:rFonts w:hint="default" w:ascii="宋体" w:hAnsi="宋体"/>
          <w:b/>
          <w:sz w:val="52"/>
          <w:szCs w:val="52"/>
        </w:rPr>
      </w:pPr>
      <w:r>
        <w:rPr>
          <w:rFonts w:ascii="宋体" w:hAnsi="宋体"/>
          <w:b/>
          <w:sz w:val="52"/>
          <w:szCs w:val="52"/>
        </w:rPr>
        <w:t>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abstractNum w:abstractNumId="1">
    <w:nsid w:val="736965D8"/>
    <w:multiLevelType w:val="multilevel"/>
    <w:tmpl w:val="736965D8"/>
    <w:lvl w:ilvl="0" w:tentative="0">
      <w:start w:val="1"/>
      <w:numFmt w:val="japaneseCounting"/>
      <w:lvlText w:val="%1、"/>
      <w:lvlJc w:val="left"/>
      <w:pPr>
        <w:ind w:left="1713" w:hanging="720"/>
      </w:pPr>
      <w:rPr>
        <w:rFonts w:hint="default" w:hAnsi="宋体" w:cstheme="minorBidi"/>
        <w:b w:val="0"/>
        <w:color w:val="auto"/>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
    <w:nsid w:val="7690C139"/>
    <w:multiLevelType w:val="singleLevel"/>
    <w:tmpl w:val="7690C139"/>
    <w:lvl w:ilvl="0" w:tentative="0">
      <w:start w:val="1"/>
      <w:numFmt w:val="decimal"/>
      <w:lvlText w:val="%1."/>
      <w:lvlJc w:val="left"/>
      <w:pPr>
        <w:tabs>
          <w:tab w:val="left" w:pos="102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iZTQ3ZmI1OTFmODUzNzgwMGRlNDBmMWZiZDQzMjEifQ=="/>
  </w:docVars>
  <w:rsids>
    <w:rsidRoot w:val="1C635C29"/>
    <w:rsid w:val="00004C69"/>
    <w:rsid w:val="00060165"/>
    <w:rsid w:val="000651BE"/>
    <w:rsid w:val="000B3319"/>
    <w:rsid w:val="000B3E18"/>
    <w:rsid w:val="000B596F"/>
    <w:rsid w:val="000C7747"/>
    <w:rsid w:val="00100607"/>
    <w:rsid w:val="00135667"/>
    <w:rsid w:val="001375B8"/>
    <w:rsid w:val="00152BD3"/>
    <w:rsid w:val="001D0B4A"/>
    <w:rsid w:val="001E37B6"/>
    <w:rsid w:val="002023AF"/>
    <w:rsid w:val="00203EA8"/>
    <w:rsid w:val="0020448C"/>
    <w:rsid w:val="00215577"/>
    <w:rsid w:val="0024164C"/>
    <w:rsid w:val="00257F8D"/>
    <w:rsid w:val="002B4A1C"/>
    <w:rsid w:val="002B5AC6"/>
    <w:rsid w:val="002C1213"/>
    <w:rsid w:val="00302259"/>
    <w:rsid w:val="00320394"/>
    <w:rsid w:val="00342E31"/>
    <w:rsid w:val="00376E8E"/>
    <w:rsid w:val="0038444A"/>
    <w:rsid w:val="00387684"/>
    <w:rsid w:val="003B7BEA"/>
    <w:rsid w:val="004177C4"/>
    <w:rsid w:val="0044142C"/>
    <w:rsid w:val="00442252"/>
    <w:rsid w:val="00464073"/>
    <w:rsid w:val="00485722"/>
    <w:rsid w:val="00496780"/>
    <w:rsid w:val="004C0E38"/>
    <w:rsid w:val="004C6A98"/>
    <w:rsid w:val="004D382B"/>
    <w:rsid w:val="004D67C2"/>
    <w:rsid w:val="00502E9F"/>
    <w:rsid w:val="00505889"/>
    <w:rsid w:val="00515D06"/>
    <w:rsid w:val="00556F96"/>
    <w:rsid w:val="005812D3"/>
    <w:rsid w:val="005814A4"/>
    <w:rsid w:val="00590A8D"/>
    <w:rsid w:val="005C3671"/>
    <w:rsid w:val="005C4DCE"/>
    <w:rsid w:val="005C6071"/>
    <w:rsid w:val="005F4CE6"/>
    <w:rsid w:val="006879AA"/>
    <w:rsid w:val="006C7381"/>
    <w:rsid w:val="0071785E"/>
    <w:rsid w:val="00751147"/>
    <w:rsid w:val="00753B9D"/>
    <w:rsid w:val="00756329"/>
    <w:rsid w:val="00796ACF"/>
    <w:rsid w:val="007971EF"/>
    <w:rsid w:val="007E231B"/>
    <w:rsid w:val="007F77B9"/>
    <w:rsid w:val="008040A1"/>
    <w:rsid w:val="00835C56"/>
    <w:rsid w:val="008539EE"/>
    <w:rsid w:val="008A7288"/>
    <w:rsid w:val="008B15C1"/>
    <w:rsid w:val="008C1C07"/>
    <w:rsid w:val="008E532E"/>
    <w:rsid w:val="00901BD8"/>
    <w:rsid w:val="009057A2"/>
    <w:rsid w:val="00906817"/>
    <w:rsid w:val="009311DE"/>
    <w:rsid w:val="00954778"/>
    <w:rsid w:val="00980339"/>
    <w:rsid w:val="00987BA0"/>
    <w:rsid w:val="009F0588"/>
    <w:rsid w:val="00A17144"/>
    <w:rsid w:val="00A31F14"/>
    <w:rsid w:val="00A5357A"/>
    <w:rsid w:val="00A56B5C"/>
    <w:rsid w:val="00A57A14"/>
    <w:rsid w:val="00A6607A"/>
    <w:rsid w:val="00A67065"/>
    <w:rsid w:val="00A74DE6"/>
    <w:rsid w:val="00AB2218"/>
    <w:rsid w:val="00B15D34"/>
    <w:rsid w:val="00B518F4"/>
    <w:rsid w:val="00B524F8"/>
    <w:rsid w:val="00B54181"/>
    <w:rsid w:val="00B84FF5"/>
    <w:rsid w:val="00B8733C"/>
    <w:rsid w:val="00BC09C4"/>
    <w:rsid w:val="00BC1437"/>
    <w:rsid w:val="00BC3B73"/>
    <w:rsid w:val="00BC7F11"/>
    <w:rsid w:val="00C018CF"/>
    <w:rsid w:val="00C23ECD"/>
    <w:rsid w:val="00C4761A"/>
    <w:rsid w:val="00CC2A63"/>
    <w:rsid w:val="00CF2173"/>
    <w:rsid w:val="00CF77FF"/>
    <w:rsid w:val="00D20828"/>
    <w:rsid w:val="00DB36D4"/>
    <w:rsid w:val="00DB66EF"/>
    <w:rsid w:val="00DC3915"/>
    <w:rsid w:val="00E41E07"/>
    <w:rsid w:val="00E4305D"/>
    <w:rsid w:val="00EC588A"/>
    <w:rsid w:val="00ED32D3"/>
    <w:rsid w:val="00EE1451"/>
    <w:rsid w:val="00EE6F85"/>
    <w:rsid w:val="00EE7123"/>
    <w:rsid w:val="00F16B2B"/>
    <w:rsid w:val="00F55116"/>
    <w:rsid w:val="00F62B9C"/>
    <w:rsid w:val="00F63893"/>
    <w:rsid w:val="00F67249"/>
    <w:rsid w:val="00F724E9"/>
    <w:rsid w:val="00FE2C8A"/>
    <w:rsid w:val="01622E76"/>
    <w:rsid w:val="082C6248"/>
    <w:rsid w:val="09C4782E"/>
    <w:rsid w:val="0ECB7368"/>
    <w:rsid w:val="0FD91C07"/>
    <w:rsid w:val="11612EA5"/>
    <w:rsid w:val="12CC5588"/>
    <w:rsid w:val="131E2240"/>
    <w:rsid w:val="137969D1"/>
    <w:rsid w:val="1B9703C5"/>
    <w:rsid w:val="1C635C29"/>
    <w:rsid w:val="1C6537BA"/>
    <w:rsid w:val="286C4199"/>
    <w:rsid w:val="28977847"/>
    <w:rsid w:val="2A3D2189"/>
    <w:rsid w:val="2DC660FA"/>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E7A2D-E6AC-4BBD-98BB-4116E5AFB2F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19</Pages>
  <Words>1215</Words>
  <Characters>6931</Characters>
  <Lines>57</Lines>
  <Paragraphs>16</Paragraphs>
  <TotalTime>3</TotalTime>
  <ScaleCrop>false</ScaleCrop>
  <LinksUpToDate>false</LinksUpToDate>
  <CharactersWithSpaces>8130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2024-01-16T09:25:44Z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D8C3D86190044CF79FC5E9FC38194C98_13</vt:lpwstr>
  </property>
</Properties>
</file>