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051915">
      <w:pPr>
        <w:pStyle w:val="6"/>
        <w:rPr>
          <w:rFonts w:hint="default" w:ascii="黑体" w:eastAsia="黑体"/>
          <w:sz w:val="32"/>
        </w:rPr>
      </w:pPr>
      <w:bookmarkStart w:id="0" w:name="_GoBack"/>
      <w:bookmarkEnd w:id="0"/>
      <w:r>
        <w:rPr>
          <w:rFonts w:ascii="黑体" w:eastAsia="黑体"/>
          <w:sz w:val="32"/>
        </w:rPr>
        <w:t>附件2</w:t>
      </w:r>
    </w:p>
    <w:p w14:paraId="3A9E54E6">
      <w:pPr>
        <w:pStyle w:val="6"/>
        <w:rPr>
          <w:rFonts w:hint="default"/>
          <w:b/>
          <w:sz w:val="44"/>
        </w:rPr>
      </w:pPr>
    </w:p>
    <w:p w14:paraId="4CBF5494">
      <w:pPr>
        <w:pStyle w:val="6"/>
        <w:rPr>
          <w:rFonts w:hint="default"/>
          <w:b/>
          <w:sz w:val="44"/>
        </w:rPr>
      </w:pPr>
    </w:p>
    <w:p w14:paraId="2EE2C8C0">
      <w:pPr>
        <w:pStyle w:val="6"/>
        <w:rPr>
          <w:rFonts w:hint="default"/>
          <w:b/>
          <w:sz w:val="44"/>
        </w:rPr>
      </w:pPr>
    </w:p>
    <w:p w14:paraId="187F006E">
      <w:pPr>
        <w:pStyle w:val="6"/>
        <w:rPr>
          <w:rFonts w:hint="default"/>
          <w:b/>
          <w:sz w:val="44"/>
        </w:rPr>
      </w:pPr>
    </w:p>
    <w:p w14:paraId="3CE5B327">
      <w:pPr>
        <w:pStyle w:val="6"/>
        <w:rPr>
          <w:rFonts w:hint="default"/>
          <w:b/>
          <w:sz w:val="44"/>
        </w:rPr>
      </w:pPr>
    </w:p>
    <w:p w14:paraId="2EEF9C90">
      <w:pPr>
        <w:pStyle w:val="6"/>
        <w:rPr>
          <w:rFonts w:hint="default"/>
          <w:b/>
          <w:sz w:val="44"/>
        </w:rPr>
      </w:pPr>
    </w:p>
    <w:p w14:paraId="2541F20B">
      <w:pPr>
        <w:pStyle w:val="6"/>
        <w:jc w:val="center"/>
        <w:rPr>
          <w:rFonts w:hint="default" w:ascii="仿宋_GB2312" w:eastAsia="仿宋_GB2312"/>
          <w:b/>
          <w:sz w:val="52"/>
        </w:rPr>
      </w:pPr>
      <w:r>
        <w:rPr>
          <w:rFonts w:hint="eastAsia" w:ascii="宋体" w:hAnsi="宋体"/>
          <w:b/>
          <w:sz w:val="52"/>
          <w:szCs w:val="52"/>
          <w:lang w:eastAsia="zh-CN"/>
        </w:rPr>
        <w:t>浑南区疾病预防控制中心202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b/>
          <w:sz w:val="52"/>
          <w:szCs w:val="52"/>
          <w:lang w:eastAsia="zh-CN"/>
        </w:rPr>
        <w:t>说明</w:t>
      </w:r>
    </w:p>
    <w:p w14:paraId="4F8653BB">
      <w:pPr>
        <w:pStyle w:val="6"/>
        <w:jc w:val="center"/>
        <w:rPr>
          <w:rFonts w:hint="default" w:ascii="Times New Roman" w:eastAsia="Times New Roman"/>
          <w:b/>
          <w:sz w:val="44"/>
          <w:u w:val="single"/>
        </w:rPr>
      </w:pPr>
    </w:p>
    <w:p w14:paraId="50049010">
      <w:pPr>
        <w:pStyle w:val="6"/>
        <w:jc w:val="center"/>
        <w:rPr>
          <w:rFonts w:hint="default" w:ascii="Times New Roman" w:eastAsia="Times New Roman"/>
          <w:b/>
          <w:sz w:val="44"/>
          <w:u w:val="single"/>
        </w:rPr>
      </w:pPr>
    </w:p>
    <w:p w14:paraId="68FCE5E0">
      <w:pPr>
        <w:pStyle w:val="6"/>
        <w:jc w:val="center"/>
        <w:rPr>
          <w:rFonts w:hint="default" w:ascii="Times New Roman" w:eastAsia="Times New Roman"/>
          <w:b/>
          <w:sz w:val="44"/>
          <w:u w:val="single"/>
        </w:rPr>
      </w:pPr>
    </w:p>
    <w:p w14:paraId="0CC7B2DA">
      <w:pPr>
        <w:pStyle w:val="6"/>
        <w:jc w:val="center"/>
        <w:rPr>
          <w:rFonts w:hint="default" w:ascii="Times New Roman" w:eastAsia="Times New Roman"/>
          <w:b/>
          <w:sz w:val="44"/>
          <w:u w:val="single"/>
        </w:rPr>
      </w:pPr>
    </w:p>
    <w:p w14:paraId="5FB9FEFA">
      <w:pPr>
        <w:pStyle w:val="6"/>
        <w:jc w:val="center"/>
        <w:rPr>
          <w:rFonts w:hint="default" w:ascii="Times New Roman" w:eastAsia="Times New Roman"/>
          <w:b/>
          <w:sz w:val="44"/>
          <w:u w:val="single"/>
        </w:rPr>
      </w:pPr>
    </w:p>
    <w:p w14:paraId="24BB3DE4">
      <w:pPr>
        <w:pStyle w:val="6"/>
        <w:jc w:val="center"/>
        <w:rPr>
          <w:rFonts w:hint="default" w:ascii="Times New Roman" w:eastAsia="Times New Roman"/>
          <w:b/>
          <w:sz w:val="44"/>
          <w:u w:val="single"/>
        </w:rPr>
      </w:pPr>
    </w:p>
    <w:p w14:paraId="134265A6">
      <w:pPr>
        <w:pStyle w:val="6"/>
        <w:jc w:val="center"/>
        <w:rPr>
          <w:rFonts w:hint="default" w:ascii="Times New Roman" w:eastAsia="Times New Roman"/>
          <w:b/>
          <w:sz w:val="44"/>
          <w:u w:val="single"/>
        </w:rPr>
      </w:pPr>
    </w:p>
    <w:p w14:paraId="7A36F041">
      <w:pPr>
        <w:pStyle w:val="6"/>
        <w:jc w:val="center"/>
        <w:rPr>
          <w:rFonts w:hint="default" w:ascii="Times New Roman" w:eastAsia="Times New Roman"/>
          <w:b/>
          <w:sz w:val="44"/>
          <w:u w:val="single"/>
        </w:rPr>
      </w:pPr>
    </w:p>
    <w:p w14:paraId="41C104DA">
      <w:pPr>
        <w:pStyle w:val="6"/>
        <w:jc w:val="center"/>
        <w:rPr>
          <w:rFonts w:hint="default" w:ascii="Times New Roman" w:eastAsia="Times New Roman"/>
          <w:b/>
          <w:sz w:val="44"/>
          <w:u w:val="single"/>
        </w:rPr>
      </w:pPr>
    </w:p>
    <w:p w14:paraId="03A1D60C">
      <w:pPr>
        <w:pStyle w:val="6"/>
        <w:spacing w:line="560" w:lineRule="exact"/>
        <w:jc w:val="center"/>
        <w:rPr>
          <w:b/>
          <w:sz w:val="44"/>
        </w:rPr>
      </w:pPr>
    </w:p>
    <w:p w14:paraId="5D32B147">
      <w:pPr>
        <w:pStyle w:val="6"/>
        <w:spacing w:line="560" w:lineRule="exact"/>
        <w:jc w:val="center"/>
        <w:rPr>
          <w:b/>
          <w:sz w:val="44"/>
        </w:rPr>
      </w:pPr>
    </w:p>
    <w:p w14:paraId="2F559CDD">
      <w:pPr>
        <w:pStyle w:val="6"/>
        <w:spacing w:line="560" w:lineRule="exact"/>
        <w:jc w:val="center"/>
        <w:rPr>
          <w:b/>
          <w:sz w:val="44"/>
        </w:rPr>
      </w:pPr>
    </w:p>
    <w:p w14:paraId="0E9181B4">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4C5CE29F">
      <w:pPr>
        <w:pStyle w:val="6"/>
        <w:spacing w:line="560" w:lineRule="exact"/>
        <w:rPr>
          <w:rFonts w:hint="default" w:ascii="Times New Roman" w:eastAsia="Times New Roman"/>
          <w:b/>
          <w:sz w:val="44"/>
          <w:u w:val="single"/>
        </w:rPr>
      </w:pPr>
    </w:p>
    <w:p w14:paraId="32D06491">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52CB7390">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6047C82">
      <w:pPr>
        <w:pStyle w:val="6"/>
        <w:spacing w:line="560" w:lineRule="exact"/>
        <w:rPr>
          <w:rFonts w:hint="default" w:ascii="仿宋_GB2312" w:eastAsia="仿宋_GB2312"/>
          <w:sz w:val="32"/>
        </w:rPr>
      </w:pPr>
      <w:r>
        <w:rPr>
          <w:rFonts w:ascii="仿宋_GB2312" w:eastAsia="仿宋_GB2312"/>
          <w:sz w:val="32"/>
        </w:rPr>
        <w:t>二、决算单位构成</w:t>
      </w:r>
    </w:p>
    <w:p w14:paraId="46C8271E">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697E8515">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4D7C907A">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D10E413">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05BA1122">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4C6E62A2">
      <w:pPr>
        <w:pStyle w:val="6"/>
        <w:spacing w:line="560" w:lineRule="exact"/>
        <w:rPr>
          <w:rFonts w:hint="default" w:ascii="黑体" w:eastAsia="黑体"/>
          <w:sz w:val="32"/>
        </w:rPr>
      </w:pPr>
      <w:r>
        <w:rPr>
          <w:rFonts w:ascii="仿宋_GB2312" w:eastAsia="仿宋_GB2312"/>
          <w:sz w:val="32"/>
        </w:rPr>
        <w:t>五、其他重要事项的情况说明</w:t>
      </w:r>
    </w:p>
    <w:p w14:paraId="312708EC">
      <w:pPr>
        <w:pStyle w:val="6"/>
        <w:spacing w:line="560" w:lineRule="exact"/>
        <w:rPr>
          <w:rFonts w:hint="default" w:ascii="黑体" w:eastAsia="黑体"/>
          <w:sz w:val="32"/>
        </w:rPr>
      </w:pPr>
      <w:r>
        <w:rPr>
          <w:rFonts w:ascii="黑体" w:eastAsia="黑体"/>
          <w:sz w:val="32"/>
        </w:rPr>
        <w:t>第三部分    名词解释</w:t>
      </w:r>
    </w:p>
    <w:p w14:paraId="292DDF3C">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4F28AC68">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16228155">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6910108D">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10919841">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25D80142">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88647D9">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FE10EFF">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008B23C1">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675318EB">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32DDD44B">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23D3ACDB">
      <w:pPr>
        <w:pStyle w:val="6"/>
        <w:spacing w:line="560" w:lineRule="exact"/>
        <w:jc w:val="center"/>
        <w:rPr>
          <w:rFonts w:hint="default"/>
          <w:b/>
          <w:sz w:val="36"/>
        </w:rPr>
      </w:pPr>
    </w:p>
    <w:p w14:paraId="6A15CE87">
      <w:pPr>
        <w:pStyle w:val="6"/>
        <w:spacing w:line="560" w:lineRule="exact"/>
        <w:jc w:val="center"/>
        <w:rPr>
          <w:rFonts w:hint="default"/>
          <w:b/>
          <w:sz w:val="36"/>
        </w:rPr>
      </w:pPr>
    </w:p>
    <w:p w14:paraId="4733CD79">
      <w:pPr>
        <w:pStyle w:val="6"/>
        <w:spacing w:line="560" w:lineRule="exact"/>
        <w:jc w:val="center"/>
        <w:rPr>
          <w:rFonts w:hint="default"/>
          <w:b/>
          <w:sz w:val="36"/>
        </w:rPr>
      </w:pPr>
      <w:r>
        <w:rPr>
          <w:b/>
          <w:sz w:val="36"/>
        </w:rPr>
        <w:t xml:space="preserve">第一部分 </w:t>
      </w:r>
      <w:r>
        <w:rPr>
          <w:rFonts w:hint="eastAsia"/>
          <w:b/>
          <w:sz w:val="36"/>
          <w:lang w:val="en-US" w:eastAsia="zh-CN"/>
        </w:rPr>
        <w:t>浑南区疾病预防控制中心</w:t>
      </w:r>
      <w:r>
        <w:rPr>
          <w:b/>
          <w:sz w:val="36"/>
        </w:rPr>
        <w:t>概况</w:t>
      </w:r>
    </w:p>
    <w:p w14:paraId="0DBA4021">
      <w:pPr>
        <w:pStyle w:val="6"/>
        <w:spacing w:line="560" w:lineRule="exact"/>
        <w:ind w:firstLine="640"/>
        <w:rPr>
          <w:rFonts w:hint="default" w:ascii="黑体" w:eastAsia="黑体"/>
          <w:sz w:val="32"/>
        </w:rPr>
      </w:pPr>
    </w:p>
    <w:p w14:paraId="4574FEA1">
      <w:pPr>
        <w:pStyle w:val="6"/>
        <w:numPr>
          <w:ilvl w:val="0"/>
          <w:numId w:val="1"/>
        </w:numPr>
        <w:spacing w:line="560" w:lineRule="exact"/>
        <w:ind w:firstLine="640"/>
        <w:rPr>
          <w:rFonts w:hint="eastAsia" w:ascii="黑体" w:hAnsi="黑体" w:eastAsia="黑体" w:cs="黑体"/>
          <w:b w:val="0"/>
          <w:bCs w:val="0"/>
          <w:color w:val="auto"/>
          <w:sz w:val="32"/>
          <w:szCs w:val="32"/>
          <w:lang w:eastAsia="zh-CN"/>
        </w:rPr>
      </w:pPr>
      <w:r>
        <w:rPr>
          <w:rFonts w:ascii="黑体" w:eastAsia="黑体"/>
          <w:b w:val="0"/>
          <w:bCs w:val="0"/>
          <w:color w:val="auto"/>
          <w:sz w:val="32"/>
        </w:rPr>
        <w:t>主要职责</w:t>
      </w:r>
    </w:p>
    <w:p w14:paraId="1C143BC1">
      <w:pPr>
        <w:keepNext w:val="0"/>
        <w:keepLines w:val="0"/>
        <w:widowControl/>
        <w:suppressLineNumbers w:val="0"/>
        <w:jc w:val="left"/>
        <w:rPr>
          <w:b w:val="0"/>
          <w:bCs w:val="0"/>
          <w:color w:val="auto"/>
        </w:rPr>
      </w:pPr>
      <w:r>
        <w:rPr>
          <w:rFonts w:hint="eastAsia" w:ascii="黑体" w:hAnsi="黑体" w:eastAsia="黑体" w:cs="黑体"/>
          <w:b w:val="0"/>
          <w:bCs w:val="0"/>
          <w:color w:val="auto"/>
          <w:sz w:val="32"/>
          <w:szCs w:val="32"/>
          <w:lang w:val="en-US" w:eastAsia="zh-CN"/>
        </w:rPr>
        <w:t xml:space="preserve"> </w:t>
      </w:r>
      <w:r>
        <w:rPr>
          <w:rFonts w:hint="eastAsia" w:ascii="黑体" w:hAnsi="宋体" w:eastAsia="黑体" w:cs="黑体"/>
          <w:b w:val="0"/>
          <w:bCs w:val="0"/>
          <w:color w:val="auto"/>
          <w:kern w:val="0"/>
          <w:sz w:val="31"/>
          <w:szCs w:val="31"/>
          <w:lang w:val="en-US" w:eastAsia="zh-CN" w:bidi="ar"/>
        </w:rPr>
        <w:t xml:space="preserve">第一条 </w:t>
      </w:r>
    </w:p>
    <w:p w14:paraId="01C62BF5">
      <w:pPr>
        <w:keepNext w:val="0"/>
        <w:keepLines w:val="0"/>
        <w:widowControl/>
        <w:suppressLineNumbers w:val="0"/>
        <w:jc w:val="left"/>
        <w:rPr>
          <w:b w:val="0"/>
          <w:bCs w:val="0"/>
          <w:color w:val="auto"/>
        </w:rPr>
      </w:pPr>
      <w:r>
        <w:rPr>
          <w:rFonts w:hint="eastAsia" w:ascii="仿宋_GB2312" w:hAnsi="宋体" w:eastAsia="仿宋_GB2312" w:cs="仿宋_GB2312"/>
          <w:b w:val="0"/>
          <w:bCs w:val="0"/>
          <w:color w:val="auto"/>
          <w:kern w:val="0"/>
          <w:sz w:val="31"/>
          <w:szCs w:val="31"/>
          <w:lang w:val="en-US" w:eastAsia="zh-CN" w:bidi="ar"/>
        </w:rPr>
        <w:t xml:space="preserve">沈阳市浑南区疾病预防控制中心，机构规格相当于 </w:t>
      </w:r>
    </w:p>
    <w:p w14:paraId="39C09BF5">
      <w:pPr>
        <w:keepNext w:val="0"/>
        <w:keepLines w:val="0"/>
        <w:widowControl/>
        <w:suppressLineNumbers w:val="0"/>
        <w:jc w:val="left"/>
        <w:rPr>
          <w:color w:val="auto"/>
        </w:rPr>
      </w:pPr>
      <w:r>
        <w:rPr>
          <w:rFonts w:hint="eastAsia" w:ascii="仿宋_GB2312" w:hAnsi="宋体" w:eastAsia="仿宋_GB2312" w:cs="仿宋_GB2312"/>
          <w:b w:val="0"/>
          <w:bCs w:val="0"/>
          <w:color w:val="auto"/>
          <w:kern w:val="0"/>
          <w:sz w:val="31"/>
          <w:szCs w:val="31"/>
          <w:lang w:val="en-US" w:eastAsia="zh-CN" w:bidi="ar"/>
        </w:rPr>
        <w:t>副处级，为沈阳市浑南区卫生健康局所属事业</w:t>
      </w:r>
      <w:r>
        <w:rPr>
          <w:rFonts w:hint="eastAsia" w:ascii="仿宋_GB2312" w:hAnsi="宋体" w:eastAsia="仿宋_GB2312" w:cs="仿宋_GB2312"/>
          <w:color w:val="auto"/>
          <w:kern w:val="0"/>
          <w:sz w:val="31"/>
          <w:szCs w:val="31"/>
          <w:lang w:val="en-US" w:eastAsia="zh-CN" w:bidi="ar"/>
        </w:rPr>
        <w:t xml:space="preserve">单位。 </w:t>
      </w:r>
    </w:p>
    <w:p w14:paraId="17F111E6">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第二条 </w:t>
      </w:r>
    </w:p>
    <w:p w14:paraId="24C7FABF">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区疾病预防控制中心的主要职责是： </w:t>
      </w:r>
    </w:p>
    <w:p w14:paraId="40169C5F">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（一）完成上级下达的疾病预防控制任务，负责辖区内疾病 </w:t>
      </w:r>
    </w:p>
    <w:p w14:paraId="7D1088D9">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预防控制具体工作的管理和落实，包括结核病防治、艾滋病防治、 精神病防治、地方病防治、慢性病防治及其他传染性疾病防治等 工作。 </w:t>
      </w:r>
    </w:p>
    <w:p w14:paraId="63B9E04D">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（二）负责辖区内基本公共卫生服务项目的实施与督导。 </w:t>
      </w:r>
    </w:p>
    <w:p w14:paraId="3BAA5D17">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（三）负责辖区内免疫规划工作，疫苗使用管理及预防接种 </w:t>
      </w:r>
    </w:p>
    <w:p w14:paraId="754A17D9">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副反应处置。 </w:t>
      </w:r>
    </w:p>
    <w:p w14:paraId="74AA74F9">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（四）负责辖区内突发公共卫生事件的监测调查与信息收集、 </w:t>
      </w:r>
    </w:p>
    <w:p w14:paraId="582760A8">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报告，落实具体控制措施。 </w:t>
      </w:r>
    </w:p>
    <w:p w14:paraId="506DCB61">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（五）开展辖区内生活饮用水水质检测、公共场所环境监测、 </w:t>
      </w:r>
    </w:p>
    <w:p w14:paraId="53B195BD">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托幼机构及医疗院所消毒监测。 </w:t>
      </w:r>
    </w:p>
    <w:p w14:paraId="257D05F0">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（六）承担卫生行政部门委托的与卫生监督执法相关的检验 </w:t>
      </w:r>
    </w:p>
    <w:p w14:paraId="2C6C953A">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检测任务、配合食药监局等相关部门开展食物中毒检验。 </w:t>
      </w:r>
    </w:p>
    <w:p w14:paraId="08AAD3AA">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（七）指导辖区内医疗卫生机构开展卫生防病工作，负责考 </w:t>
      </w:r>
    </w:p>
    <w:p w14:paraId="376DB3F7">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核和评价，对从事疾病预防控制相关工作的人员进行培训。</w:t>
      </w:r>
    </w:p>
    <w:p w14:paraId="28F18DC6">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（八）负责疫情和公共卫生健康危害因素监测、报告，指导 </w:t>
      </w:r>
    </w:p>
    <w:p w14:paraId="064F2548">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有关部门收集、报告疫情。 </w:t>
      </w:r>
    </w:p>
    <w:p w14:paraId="2017C141">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（九）开展卫生宣传教育与健康促进活动，普及卫生防病知 </w:t>
      </w:r>
    </w:p>
    <w:p w14:paraId="5A661014">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识。 </w:t>
      </w:r>
    </w:p>
    <w:p w14:paraId="3EF22A9F">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（十）承担区卫生健康局交办的其他事项。 </w:t>
      </w:r>
    </w:p>
    <w:p w14:paraId="6186FB5E">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第三条 </w:t>
      </w:r>
    </w:p>
    <w:p w14:paraId="19643A19">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区疾病预防控制中心设下列内设机构： </w:t>
      </w:r>
    </w:p>
    <w:p w14:paraId="19EF4748">
      <w:pPr>
        <w:keepNext w:val="0"/>
        <w:keepLines w:val="0"/>
        <w:widowControl/>
        <w:suppressLineNumbers w:val="0"/>
        <w:jc w:val="left"/>
        <w:rPr>
          <w:color w:val="auto"/>
        </w:rPr>
      </w:pPr>
      <w:r>
        <w:rPr>
          <w:rFonts w:hint="eastAsia" w:ascii="楷体_GB2312" w:hAnsi="楷体_GB2312" w:eastAsia="楷体_GB2312" w:cs="楷体_GB2312"/>
          <w:color w:val="auto"/>
          <w:kern w:val="0"/>
          <w:sz w:val="31"/>
          <w:szCs w:val="31"/>
          <w:lang w:val="en-US" w:eastAsia="zh-CN" w:bidi="ar"/>
        </w:rPr>
        <w:t>（一）综合管理部。</w:t>
      </w:r>
      <w:r>
        <w:rPr>
          <w:rFonts w:hint="eastAsia" w:ascii="仿宋_GB2312" w:hAnsi="宋体" w:eastAsia="仿宋_GB2312" w:cs="仿宋_GB2312"/>
          <w:color w:val="auto"/>
          <w:kern w:val="0"/>
          <w:sz w:val="31"/>
          <w:szCs w:val="31"/>
          <w:lang w:val="en-US" w:eastAsia="zh-CN" w:bidi="ar"/>
        </w:rPr>
        <w:t xml:space="preserve">负责本单位的综合服务管理职能，含党 </w:t>
      </w:r>
    </w:p>
    <w:p w14:paraId="0C1DC517">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务、业务管理、档案管理、质量控制、行政后勤、人事劳资、固 定资产、财务管理。 </w:t>
      </w:r>
    </w:p>
    <w:p w14:paraId="6C989CC9">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17 名，部长 1 名。 </w:t>
      </w:r>
    </w:p>
    <w:p w14:paraId="6653AF57">
      <w:pPr>
        <w:keepNext w:val="0"/>
        <w:keepLines w:val="0"/>
        <w:widowControl/>
        <w:suppressLineNumbers w:val="0"/>
        <w:jc w:val="left"/>
        <w:rPr>
          <w:color w:val="auto"/>
        </w:rPr>
      </w:pPr>
      <w:r>
        <w:rPr>
          <w:rFonts w:hint="eastAsia" w:ascii="楷体_GB2312" w:hAnsi="楷体_GB2312" w:eastAsia="楷体_GB2312" w:cs="楷体_GB2312"/>
          <w:color w:val="auto"/>
          <w:kern w:val="0"/>
          <w:sz w:val="31"/>
          <w:szCs w:val="31"/>
          <w:lang w:val="en-US" w:eastAsia="zh-CN" w:bidi="ar"/>
        </w:rPr>
        <w:t>（二）业务管理部。</w:t>
      </w:r>
      <w:r>
        <w:rPr>
          <w:rFonts w:hint="eastAsia" w:ascii="仿宋_GB2312" w:hAnsi="宋体" w:eastAsia="仿宋_GB2312" w:cs="仿宋_GB2312"/>
          <w:color w:val="auto"/>
          <w:kern w:val="0"/>
          <w:sz w:val="31"/>
          <w:szCs w:val="31"/>
          <w:lang w:val="en-US" w:eastAsia="zh-CN" w:bidi="ar"/>
        </w:rPr>
        <w:t xml:space="preserve">参与突发公共卫生事件、急性传染病爆 </w:t>
      </w:r>
    </w:p>
    <w:p w14:paraId="72AFB6EB">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发等重大疫情、重大灾害紧急处置和控制；疫情分析管理；开展 各项传染病监测、分析、防控相关工作。负责实施艾滋病、性病的预防控制规划和措施、开展疫情分析、调查与疫情管理。参与艾滋病、性病重大爆发疫情的紧急处置和控制。实施地方病、寄生虫病、自然疫源性疾病的预防控制规划；开展预防控制和监测工作，负责碘缺乏病的监测。 </w:t>
      </w:r>
    </w:p>
    <w:p w14:paraId="73B7895F">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承担辖区内疫苗管理、冷链管理；负责疑似预防接种异常反 </w:t>
      </w:r>
    </w:p>
    <w:p w14:paraId="015987A0">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应监测及处理；开展计划免疫相关疫情监测、报表、督导、信息化管理等工作；对辖区内预防接种相关人员进行上岗培训、辖区内托幼机构/小学的园(校)医进行验证培训，每年一次疾病专项培训等。</w:t>
      </w:r>
    </w:p>
    <w:p w14:paraId="31D4ED28">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承担肿瘤、生命统计、老年病、健康档案管理工作。承担辖 </w:t>
      </w:r>
    </w:p>
    <w:p w14:paraId="00E79BE2">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内肿瘤及心脑血管疾病防治工作并建立防治网络；监测全区人口死因情况，获得年末年龄别人口数据及各部门出生数据；开展职业人群、儿童青少年及社区人群健康体重专项行动；指导辖区开展基本公共卫生服务项目高血压患者健康管理工作。 </w:t>
      </w:r>
    </w:p>
    <w:p w14:paraId="2DAB1214">
      <w:pPr>
        <w:keepNext w:val="0"/>
        <w:keepLines w:val="0"/>
        <w:widowControl/>
        <w:suppressLineNumbers w:val="0"/>
        <w:ind w:firstLine="620" w:firstLineChars="200"/>
        <w:jc w:val="left"/>
        <w:rPr>
          <w:color w:val="auto"/>
        </w:rPr>
      </w:pPr>
      <w:r>
        <w:rPr>
          <w:rFonts w:hint="eastAsia" w:ascii="仿宋_GB2312" w:hAnsi="宋体" w:eastAsia="仿宋_GB2312" w:cs="仿宋_GB2312"/>
          <w:color w:val="auto"/>
          <w:kern w:val="0"/>
          <w:sz w:val="31"/>
          <w:szCs w:val="31"/>
          <w:lang w:val="en-US" w:eastAsia="zh-CN" w:bidi="ar"/>
        </w:rPr>
        <w:t xml:space="preserve">负责制订全区健康教育工作计划并组织实施。针对不同时期、不同人群开展健康教育、健康咨询、普及卫生防病知识，帮助公众提高自我保健水平与防护技能，减少疾病流行和突发事件造成的身心危害。指导基层开展健康教育与促进活动，对教育活动进行效果评估。负责学校卫生情况年报表、学生常见病及健康危害因素监测，收集辖区内所有学校相关信息，建立学校卫生档案；开展儿童青少年近视防控。 </w:t>
      </w:r>
    </w:p>
    <w:p w14:paraId="2FC1DC22">
      <w:pPr>
        <w:keepNext w:val="0"/>
        <w:keepLines w:val="0"/>
        <w:widowControl/>
        <w:suppressLineNumbers w:val="0"/>
        <w:ind w:firstLine="620" w:firstLineChars="200"/>
        <w:jc w:val="left"/>
        <w:rPr>
          <w:color w:val="auto"/>
        </w:rPr>
      </w:pPr>
      <w:r>
        <w:rPr>
          <w:rFonts w:hint="eastAsia" w:ascii="仿宋_GB2312" w:hAnsi="宋体" w:eastAsia="仿宋_GB2312" w:cs="仿宋_GB2312"/>
          <w:color w:val="auto"/>
          <w:kern w:val="0"/>
          <w:sz w:val="31"/>
          <w:szCs w:val="31"/>
          <w:lang w:val="en-US" w:eastAsia="zh-CN" w:bidi="ar"/>
        </w:rPr>
        <w:t xml:space="preserve">对辖区内重性精神病人管理、严重精神障碍管理与治疗项目工作的相关培训，并对其工作进行督导及绩效考核；开展定点医院的免费投药工作；指导全区康复站开展患者康复活动；负责康复站档案的建立、康复活动礼品的发放、特色手工艺品的制作与培训等。 </w:t>
      </w:r>
    </w:p>
    <w:p w14:paraId="0903A40A">
      <w:pPr>
        <w:keepNext w:val="0"/>
        <w:keepLines w:val="0"/>
        <w:widowControl/>
        <w:suppressLineNumbers w:val="0"/>
        <w:ind w:firstLine="310" w:firstLineChars="100"/>
        <w:jc w:val="left"/>
        <w:rPr>
          <w:color w:val="auto"/>
        </w:rPr>
      </w:pPr>
      <w:r>
        <w:rPr>
          <w:rFonts w:hint="eastAsia" w:ascii="仿宋_GB2312" w:hAnsi="宋体" w:eastAsia="仿宋_GB2312" w:cs="仿宋_GB2312"/>
          <w:color w:val="auto"/>
          <w:kern w:val="0"/>
          <w:sz w:val="31"/>
          <w:szCs w:val="31"/>
          <w:lang w:val="en-US" w:eastAsia="zh-CN" w:bidi="ar"/>
        </w:rPr>
        <w:t xml:space="preserve">对辖区结核病防治工作进行全程指导；制定本地区免费抗结 </w:t>
      </w:r>
    </w:p>
    <w:p w14:paraId="1B1CD626">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核药品的需求计划，提供免费的诊断治疗服务，规范患者用药、 </w:t>
      </w:r>
    </w:p>
    <w:p w14:paraId="787F00A2">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治疗、转诊管理工作；对中断治疗的患者进行随访；开展患者及 其家属健康教育工作。 </w:t>
      </w:r>
    </w:p>
    <w:p w14:paraId="407BD082">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50 名，部长 1 名。 </w:t>
      </w:r>
    </w:p>
    <w:p w14:paraId="35BF3012">
      <w:pPr>
        <w:keepNext w:val="0"/>
        <w:keepLines w:val="0"/>
        <w:widowControl/>
        <w:suppressLineNumbers w:val="0"/>
        <w:jc w:val="left"/>
        <w:rPr>
          <w:color w:val="auto"/>
        </w:rPr>
      </w:pPr>
      <w:r>
        <w:rPr>
          <w:rFonts w:hint="eastAsia" w:ascii="楷体_GB2312" w:hAnsi="楷体_GB2312" w:eastAsia="楷体_GB2312" w:cs="楷体_GB2312"/>
          <w:color w:val="auto"/>
          <w:kern w:val="0"/>
          <w:sz w:val="31"/>
          <w:szCs w:val="31"/>
          <w:lang w:val="en-US" w:eastAsia="zh-CN" w:bidi="ar"/>
        </w:rPr>
        <w:t>（三）监测检验中心。</w:t>
      </w:r>
      <w:r>
        <w:rPr>
          <w:rFonts w:hint="eastAsia" w:ascii="仿宋_GB2312" w:hAnsi="宋体" w:eastAsia="仿宋_GB2312" w:cs="仿宋_GB2312"/>
          <w:color w:val="auto"/>
          <w:kern w:val="0"/>
          <w:sz w:val="31"/>
          <w:szCs w:val="31"/>
          <w:lang w:val="en-US" w:eastAsia="zh-CN" w:bidi="ar"/>
        </w:rPr>
        <w:t xml:space="preserve">承担营养、食品、职业卫生、消毒消 </w:t>
      </w:r>
    </w:p>
    <w:p w14:paraId="13ECEB94">
      <w:pPr>
        <w:keepNext w:val="0"/>
        <w:keepLines w:val="0"/>
        <w:widowControl/>
        <w:suppressLineNumbers w:val="0"/>
        <w:jc w:val="left"/>
        <w:rPr>
          <w:rFonts w:hint="eastAsia" w:ascii="仿宋_GB2312" w:hAnsi="宋体" w:eastAsia="仿宋_GB2312" w:cs="仿宋_GB2312"/>
          <w:color w:val="auto"/>
          <w:kern w:val="0"/>
          <w:sz w:val="31"/>
          <w:szCs w:val="31"/>
          <w:lang w:val="en-US" w:eastAsia="zh-CN" w:bidi="ar"/>
        </w:rPr>
      </w:pPr>
      <w:r>
        <w:rPr>
          <w:rFonts w:hint="eastAsia" w:ascii="仿宋_GB2312" w:hAnsi="宋体" w:eastAsia="仿宋_GB2312" w:cs="仿宋_GB2312"/>
          <w:color w:val="auto"/>
          <w:kern w:val="0"/>
          <w:sz w:val="31"/>
          <w:szCs w:val="31"/>
          <w:lang w:val="en-US" w:eastAsia="zh-CN" w:bidi="ar"/>
        </w:rPr>
        <w:t xml:space="preserve">杀工作。负责辖区饮水卫生、公共场所卫生、病媒生物密度监测 工作；负责全区医疗机构消毒效果与医源性感染因素的监测与技术指导、培训工作；负责辖区内食品安全风险监测工作。负责职业病与健康相关因素信息管理、危害因素监测、监督抽检委托检测、对基层业务工作指导与培训。 </w:t>
      </w:r>
    </w:p>
    <w:p w14:paraId="50D260E3">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开展膳食指导，合理膳食宣传活动、个体膳食评估与合理膳食指导、组织辖区内相关工作人员开展数据与资料收集、整理和上报工作，汇总各项工作数据及资料，完成居民食物消费、食品安全相关知识调查；开展中国儿童与乳母营养健康监测。 </w:t>
      </w:r>
    </w:p>
    <w:p w14:paraId="265D7875">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检测工作内设微生物检验室、理化检验室、艾滋病筛查实验 </w:t>
      </w:r>
    </w:p>
    <w:p w14:paraId="4609F42E">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室。包括常规检验微生物检测和理化检测；开展水质、食品、病源微生物检验；突发卫生应急事件采样与检测；盲样考核检测。 </w:t>
      </w:r>
    </w:p>
    <w:p w14:paraId="60412C44">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人员编制 30 名，主任 1 名。 </w:t>
      </w:r>
    </w:p>
    <w:p w14:paraId="480A23AA">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第四条 </w:t>
      </w:r>
    </w:p>
    <w:p w14:paraId="53F272AF">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区疾病预防控制中心核定全额拨款事业编制 102 名。 </w:t>
      </w:r>
    </w:p>
    <w:p w14:paraId="4BFD0FFA">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 xml:space="preserve">核定主任 1 名，副主任 4 名；核定内设机构领导职数 3 名。 </w:t>
      </w:r>
    </w:p>
    <w:p w14:paraId="791053DE">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第五条 </w:t>
      </w:r>
      <w:r>
        <w:rPr>
          <w:rFonts w:hint="eastAsia" w:ascii="仿宋_GB2312" w:hAnsi="宋体" w:eastAsia="仿宋_GB2312" w:cs="仿宋_GB2312"/>
          <w:color w:val="auto"/>
          <w:kern w:val="0"/>
          <w:sz w:val="31"/>
          <w:szCs w:val="31"/>
          <w:lang w:val="en-US" w:eastAsia="zh-CN" w:bidi="ar"/>
        </w:rPr>
        <w:t xml:space="preserve">本通知由中共沈阳市浑南区委机构编制委员会办公室负责解释，其调整由中共沈阳市浑南区委机构编制委员会办公 室按规定程序办理。请按有关规定到区事业单位登记管理机关办理相关手续。 </w:t>
      </w:r>
    </w:p>
    <w:p w14:paraId="39DAE23C">
      <w:pPr>
        <w:keepNext w:val="0"/>
        <w:keepLines w:val="0"/>
        <w:widowControl/>
        <w:suppressLineNumbers w:val="0"/>
        <w:jc w:val="left"/>
        <w:rPr>
          <w:color w:val="auto"/>
        </w:rPr>
      </w:pPr>
      <w:r>
        <w:rPr>
          <w:rFonts w:hint="eastAsia" w:ascii="黑体" w:hAnsi="宋体" w:eastAsia="黑体" w:cs="黑体"/>
          <w:color w:val="auto"/>
          <w:kern w:val="0"/>
          <w:sz w:val="31"/>
          <w:szCs w:val="31"/>
          <w:lang w:val="en-US" w:eastAsia="zh-CN" w:bidi="ar"/>
        </w:rPr>
        <w:t xml:space="preserve">第六条 </w:t>
      </w:r>
    </w:p>
    <w:p w14:paraId="1AB3C1FD">
      <w:pPr>
        <w:keepNext w:val="0"/>
        <w:keepLines w:val="0"/>
        <w:widowControl/>
        <w:suppressLineNumbers w:val="0"/>
        <w:jc w:val="left"/>
        <w:rPr>
          <w:color w:val="auto"/>
        </w:rPr>
      </w:pPr>
      <w:r>
        <w:rPr>
          <w:rFonts w:hint="eastAsia" w:ascii="仿宋_GB2312" w:hAnsi="宋体" w:eastAsia="仿宋_GB2312" w:cs="仿宋_GB2312"/>
          <w:color w:val="auto"/>
          <w:kern w:val="0"/>
          <w:sz w:val="31"/>
          <w:szCs w:val="31"/>
          <w:lang w:val="en-US" w:eastAsia="zh-CN" w:bidi="ar"/>
        </w:rPr>
        <w:t>本规定自 2020 年 10 月 29 日起施行。2020 年 2 月23 日区委编委印发的《沈阳市浑南区疾病预防控制中心主要职责、内设机构和人员编制规定》同时废止。</w:t>
      </w:r>
    </w:p>
    <w:p w14:paraId="0B264CA5">
      <w:pPr>
        <w:pStyle w:val="6"/>
        <w:numPr>
          <w:ilvl w:val="0"/>
          <w:numId w:val="1"/>
        </w:numPr>
        <w:spacing w:line="560" w:lineRule="exact"/>
        <w:ind w:left="0" w:leftChars="0" w:firstLine="640" w:firstLineChars="0"/>
        <w:rPr>
          <w:rFonts w:ascii="黑体" w:eastAsia="黑体"/>
          <w:sz w:val="32"/>
        </w:rPr>
      </w:pPr>
      <w:r>
        <w:rPr>
          <w:rFonts w:ascii="黑体" w:eastAsia="黑体"/>
          <w:sz w:val="32"/>
        </w:rPr>
        <w:t>决算单位构成</w:t>
      </w:r>
    </w:p>
    <w:p w14:paraId="2DF05E5A">
      <w:pPr>
        <w:pStyle w:val="6"/>
        <w:numPr>
          <w:ilvl w:val="0"/>
          <w:numId w:val="0"/>
        </w:numPr>
        <w:spacing w:line="560" w:lineRule="exact"/>
        <w:ind w:left="640" w:leftChars="0"/>
        <w:rPr>
          <w:rFonts w:hint="default" w:ascii="仿宋_GB2312" w:eastAsia="仿宋_GB2312"/>
          <w:sz w:val="32"/>
        </w:rPr>
      </w:pPr>
      <w:r>
        <w:rPr>
          <w:rFonts w:hint="eastAsia" w:ascii="黑体" w:hAnsi="黑体" w:eastAsia="黑体" w:cs="黑体"/>
          <w:b w:val="0"/>
          <w:bCs w:val="0"/>
          <w:color w:val="auto"/>
          <w:sz w:val="32"/>
          <w:szCs w:val="32"/>
        </w:rPr>
        <w:t>纳入</w:t>
      </w:r>
      <w:r>
        <w:rPr>
          <w:rFonts w:hint="eastAsia" w:ascii="黑体" w:hAnsi="黑体" w:eastAsia="黑体" w:cs="黑体"/>
          <w:b w:val="0"/>
          <w:bCs w:val="0"/>
          <w:color w:val="auto"/>
          <w:sz w:val="32"/>
          <w:szCs w:val="32"/>
          <w:lang w:eastAsia="zh-CN"/>
        </w:rPr>
        <w:t>本单位</w:t>
      </w:r>
      <w:r>
        <w:rPr>
          <w:rFonts w:hint="eastAsia" w:ascii="黑体" w:hAnsi="黑体" w:eastAsia="黑体" w:cs="黑体"/>
          <w:b w:val="0"/>
          <w:bCs w:val="0"/>
          <w:color w:val="auto"/>
          <w:sz w:val="32"/>
          <w:szCs w:val="32"/>
        </w:rPr>
        <w:t>20</w:t>
      </w:r>
      <w:r>
        <w:rPr>
          <w:rFonts w:hint="eastAsia" w:ascii="黑体" w:hAnsi="黑体" w:eastAsia="黑体" w:cs="黑体"/>
          <w:b w:val="0"/>
          <w:bCs w:val="0"/>
          <w:color w:val="auto"/>
          <w:sz w:val="32"/>
          <w:szCs w:val="32"/>
          <w:lang w:val="en-US" w:eastAsia="zh-CN"/>
        </w:rPr>
        <w:t>22</w:t>
      </w:r>
      <w:r>
        <w:rPr>
          <w:rFonts w:hint="eastAsia" w:ascii="黑体" w:hAnsi="黑体" w:eastAsia="黑体" w:cs="黑体"/>
          <w:b w:val="0"/>
          <w:bCs w:val="0"/>
          <w:color w:val="auto"/>
          <w:sz w:val="32"/>
          <w:szCs w:val="32"/>
        </w:rPr>
        <w:t>年</w:t>
      </w:r>
      <w:r>
        <w:rPr>
          <w:rFonts w:hint="eastAsia" w:ascii="黑体" w:hAnsi="黑体" w:eastAsia="黑体" w:cs="黑体"/>
          <w:b w:val="0"/>
          <w:bCs w:val="0"/>
          <w:color w:val="auto"/>
          <w:sz w:val="32"/>
          <w:szCs w:val="32"/>
          <w:lang w:eastAsia="zh-CN"/>
        </w:rPr>
        <w:t>决算</w:t>
      </w:r>
      <w:r>
        <w:rPr>
          <w:rFonts w:hint="eastAsia" w:ascii="黑体" w:hAnsi="黑体" w:eastAsia="黑体" w:cs="黑体"/>
          <w:b w:val="0"/>
          <w:bCs w:val="0"/>
          <w:color w:val="auto"/>
          <w:sz w:val="32"/>
          <w:szCs w:val="32"/>
        </w:rPr>
        <w:t>编制范围的是</w:t>
      </w:r>
      <w:r>
        <w:rPr>
          <w:rFonts w:hint="eastAsia" w:ascii="黑体" w:hAnsi="黑体" w:eastAsia="黑体" w:cs="黑体"/>
          <w:b w:val="0"/>
          <w:bCs w:val="0"/>
          <w:color w:val="auto"/>
          <w:sz w:val="32"/>
          <w:szCs w:val="32"/>
          <w:lang w:eastAsia="zh-CN"/>
        </w:rPr>
        <w:t>浑南区疾病预防控制中心</w:t>
      </w:r>
      <w:r>
        <w:rPr>
          <w:rFonts w:hint="eastAsia" w:ascii="黑体" w:hAnsi="黑体" w:eastAsia="黑体" w:cs="黑体"/>
          <w:b w:val="0"/>
          <w:bCs w:val="0"/>
          <w:color w:val="auto"/>
          <w:sz w:val="32"/>
          <w:szCs w:val="32"/>
        </w:rPr>
        <w:t>本级，本单位无下设机构</w:t>
      </w:r>
      <w:r>
        <w:rPr>
          <w:rFonts w:hint="eastAsia" w:ascii="黑体" w:hAnsi="黑体" w:eastAsia="黑体" w:cs="黑体"/>
          <w:b w:val="0"/>
          <w:bCs w:val="0"/>
          <w:color w:val="auto"/>
          <w:sz w:val="32"/>
          <w:szCs w:val="32"/>
          <w:lang w:eastAsia="zh-CN"/>
        </w:rPr>
        <w:t>。</w:t>
      </w:r>
    </w:p>
    <w:p w14:paraId="0A63D182">
      <w:pPr>
        <w:pStyle w:val="6"/>
        <w:spacing w:line="560" w:lineRule="exact"/>
        <w:rPr>
          <w:rFonts w:hint="default"/>
          <w:b/>
          <w:sz w:val="36"/>
        </w:rPr>
      </w:pPr>
    </w:p>
    <w:p w14:paraId="5610C1CF">
      <w:pPr>
        <w:pStyle w:val="6"/>
        <w:spacing w:line="560" w:lineRule="exact"/>
        <w:jc w:val="center"/>
        <w:rPr>
          <w:rFonts w:hint="default"/>
          <w:b/>
          <w:sz w:val="36"/>
        </w:rPr>
      </w:pPr>
      <w:r>
        <w:rPr>
          <w:b/>
          <w:sz w:val="36"/>
        </w:rPr>
        <w:t xml:space="preserve">第二部分 </w:t>
      </w:r>
      <w:r>
        <w:rPr>
          <w:rFonts w:hint="eastAsia"/>
          <w:b/>
          <w:sz w:val="36"/>
          <w:lang w:val="en-US" w:eastAsia="zh-CN"/>
        </w:rPr>
        <w:t>浑南区疾病预防控制中心</w:t>
      </w:r>
      <w:r>
        <w:rPr>
          <w:b/>
          <w:sz w:val="36"/>
        </w:rPr>
        <w:t>202</w:t>
      </w:r>
      <w:r>
        <w:rPr>
          <w:rFonts w:hint="eastAsia"/>
          <w:b/>
          <w:sz w:val="36"/>
          <w:lang w:val="en-US" w:eastAsia="zh-CN"/>
        </w:rPr>
        <w:t>2</w:t>
      </w:r>
      <w:r>
        <w:rPr>
          <w:b/>
          <w:sz w:val="36"/>
        </w:rPr>
        <w:t>年决算情况说明</w:t>
      </w:r>
    </w:p>
    <w:p w14:paraId="6CD39F70">
      <w:pPr>
        <w:pStyle w:val="6"/>
        <w:spacing w:line="560" w:lineRule="exact"/>
        <w:ind w:firstLine="640" w:firstLineChars="200"/>
        <w:rPr>
          <w:rFonts w:hint="default" w:ascii="黑体" w:eastAsia="黑体"/>
          <w:sz w:val="32"/>
        </w:rPr>
      </w:pPr>
    </w:p>
    <w:p w14:paraId="4E10CCFB">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67E6B960">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9040.02</w:t>
      </w:r>
      <w:r>
        <w:rPr>
          <w:rFonts w:ascii="楷体_GB2312" w:eastAsia="楷体_GB2312"/>
          <w:b/>
          <w:sz w:val="32"/>
        </w:rPr>
        <w:t>万元包括：</w:t>
      </w:r>
    </w:p>
    <w:p w14:paraId="0BE3740F">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6289.36</w:t>
      </w:r>
      <w:r>
        <w:rPr>
          <w:rFonts w:ascii="仿宋_GB2312" w:eastAsia="仿宋_GB2312"/>
          <w:sz w:val="32"/>
        </w:rPr>
        <w:t>万元，占收入总计的</w:t>
      </w:r>
      <w:r>
        <w:rPr>
          <w:rFonts w:hint="eastAsia" w:ascii="仿宋_GB2312" w:eastAsia="仿宋_GB2312"/>
          <w:sz w:val="32"/>
          <w:lang w:val="en-US" w:eastAsia="zh-CN"/>
        </w:rPr>
        <w:t>70</w:t>
      </w:r>
      <w:r>
        <w:rPr>
          <w:rFonts w:ascii="仿宋_GB2312" w:eastAsia="仿宋_GB2312"/>
          <w:sz w:val="32"/>
        </w:rPr>
        <w:t>%。其中：一般公共预算财政拨款收入</w:t>
      </w:r>
      <w:r>
        <w:rPr>
          <w:rFonts w:hint="eastAsia" w:ascii="仿宋_GB2312" w:eastAsia="仿宋_GB2312"/>
          <w:sz w:val="32"/>
          <w:lang w:val="en-US" w:eastAsia="zh-CN"/>
        </w:rPr>
        <w:t>6289.36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1B7BB7B3">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.事业收入</w:t>
      </w:r>
      <w:r>
        <w:rPr>
          <w:rFonts w:hint="eastAsia" w:ascii="仿宋_GB2312" w:eastAsia="仿宋_GB2312"/>
          <w:sz w:val="32"/>
          <w:lang w:val="en-US" w:eastAsia="zh-CN"/>
        </w:rPr>
        <w:t>2585.55</w:t>
      </w:r>
      <w:r>
        <w:rPr>
          <w:rFonts w:ascii="仿宋_GB2312" w:eastAsia="仿宋_GB2312"/>
          <w:sz w:val="32"/>
        </w:rPr>
        <w:t>万元，占收入总计的</w:t>
      </w:r>
      <w:r>
        <w:rPr>
          <w:rFonts w:hint="eastAsia" w:ascii="仿宋_GB2312" w:eastAsia="仿宋_GB2312"/>
          <w:sz w:val="32"/>
          <w:lang w:val="en-US" w:eastAsia="zh-CN"/>
        </w:rPr>
        <w:t>28</w:t>
      </w:r>
      <w:r>
        <w:rPr>
          <w:rFonts w:ascii="仿宋_GB2312" w:eastAsia="仿宋_GB2312"/>
          <w:sz w:val="32"/>
        </w:rPr>
        <w:t>%。主要是</w:t>
      </w:r>
      <w:r>
        <w:rPr>
          <w:rFonts w:hint="eastAsia" w:ascii="仿宋_GB2312" w:eastAsia="仿宋_GB2312"/>
          <w:sz w:val="32"/>
          <w:lang w:eastAsia="zh-CN"/>
        </w:rPr>
        <w:t>计划免疫二类疫苗</w:t>
      </w:r>
      <w:r>
        <w:rPr>
          <w:rFonts w:ascii="仿宋_GB2312" w:eastAsia="仿宋_GB2312"/>
          <w:sz w:val="32"/>
        </w:rPr>
        <w:t>收入。</w:t>
      </w:r>
    </w:p>
    <w:p w14:paraId="2EFBE9DF">
      <w:pPr>
        <w:pStyle w:val="6"/>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3</w:t>
      </w:r>
      <w:r>
        <w:rPr>
          <w:rFonts w:ascii="仿宋_GB2312" w:eastAsia="仿宋_GB2312"/>
          <w:sz w:val="32"/>
        </w:rPr>
        <w:t>.其他收入</w:t>
      </w:r>
      <w:r>
        <w:rPr>
          <w:rFonts w:hint="eastAsia" w:ascii="仿宋_GB2312" w:eastAsia="仿宋_GB2312"/>
          <w:sz w:val="32"/>
          <w:lang w:val="en-US" w:eastAsia="zh-CN"/>
        </w:rPr>
        <w:t>89.89</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eastAsia="仿宋_GB2312"/>
          <w:sz w:val="32"/>
          <w:lang w:eastAsia="zh-CN"/>
        </w:rPr>
        <w:t>拨入重大公共卫生项目资金</w:t>
      </w:r>
      <w:r>
        <w:rPr>
          <w:rFonts w:ascii="仿宋_GB2312" w:eastAsia="仿宋_GB2312"/>
          <w:sz w:val="32"/>
        </w:rPr>
        <w:t>。</w:t>
      </w:r>
    </w:p>
    <w:p w14:paraId="07C9734D">
      <w:pPr>
        <w:pStyle w:val="6"/>
        <w:spacing w:line="560" w:lineRule="exact"/>
        <w:ind w:firstLine="660"/>
        <w:rPr>
          <w:rFonts w:hint="default" w:ascii="仿宋_GB2312" w:eastAsia="仿宋_GB2312"/>
          <w:sz w:val="32"/>
        </w:rPr>
      </w:pPr>
      <w:r>
        <w:rPr>
          <w:rFonts w:hint="eastAsia" w:ascii="仿宋_GB2312" w:eastAsia="仿宋_GB2312"/>
          <w:sz w:val="32"/>
          <w:szCs w:val="32"/>
          <w:lang w:val="en-US" w:eastAsia="zh-CN"/>
        </w:rPr>
        <w:t>4</w:t>
      </w:r>
      <w:r>
        <w:rPr>
          <w:rFonts w:ascii="仿宋_GB2312" w:eastAsia="仿宋_GB2312"/>
          <w:sz w:val="32"/>
        </w:rPr>
        <w:t>.上年结转和结余</w:t>
      </w:r>
      <w:r>
        <w:rPr>
          <w:rFonts w:hint="eastAsia" w:ascii="仿宋_GB2312" w:eastAsia="仿宋_GB2312"/>
          <w:sz w:val="32"/>
          <w:lang w:val="en-US" w:eastAsia="zh-CN"/>
        </w:rPr>
        <w:t>75.22</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eastAsia="仿宋_GB2312"/>
          <w:sz w:val="32"/>
          <w:lang w:eastAsia="zh-CN"/>
        </w:rPr>
        <w:t>上年结余的重大公共卫生项目资金</w:t>
      </w:r>
      <w:r>
        <w:rPr>
          <w:rFonts w:ascii="仿宋_GB2312" w:eastAsia="仿宋_GB2312"/>
          <w:sz w:val="32"/>
        </w:rPr>
        <w:t>等。</w:t>
      </w:r>
    </w:p>
    <w:p w14:paraId="4C053281">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1465.74</w:t>
      </w:r>
      <w:r>
        <w:rPr>
          <w:rFonts w:ascii="仿宋_GB2312" w:eastAsia="仿宋_GB2312"/>
          <w:sz w:val="32"/>
        </w:rPr>
        <w:t>万元，增长</w:t>
      </w:r>
      <w:r>
        <w:rPr>
          <w:rFonts w:hint="eastAsia" w:ascii="仿宋_GB2312" w:eastAsia="仿宋_GB2312"/>
          <w:sz w:val="32"/>
          <w:lang w:val="en-US" w:eastAsia="zh-CN"/>
        </w:rPr>
        <w:t>20</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财政拨款疫情项目款增加</w:t>
      </w:r>
      <w:r>
        <w:rPr>
          <w:rFonts w:ascii="仿宋_GB2312" w:eastAsia="仿宋_GB2312"/>
          <w:sz w:val="32"/>
        </w:rPr>
        <w:t>；</w:t>
      </w:r>
      <w:r>
        <w:rPr>
          <w:rFonts w:ascii="黑体" w:eastAsia="黑体"/>
          <w:sz w:val="32"/>
        </w:rPr>
        <w:t>二是</w:t>
      </w:r>
      <w:r>
        <w:rPr>
          <w:rFonts w:hint="eastAsia" w:ascii="仿宋_GB2312" w:eastAsia="仿宋_GB2312"/>
          <w:sz w:val="32"/>
          <w:lang w:eastAsia="zh-CN"/>
        </w:rPr>
        <w:t>其他收入增加</w:t>
      </w:r>
      <w:r>
        <w:rPr>
          <w:rFonts w:ascii="仿宋_GB2312" w:eastAsia="仿宋_GB2312"/>
          <w:sz w:val="32"/>
        </w:rPr>
        <w:t>。</w:t>
      </w:r>
    </w:p>
    <w:p w14:paraId="53901DFE">
      <w:pPr>
        <w:pStyle w:val="6"/>
        <w:numPr>
          <w:ilvl w:val="0"/>
          <w:numId w:val="0"/>
        </w:numPr>
        <w:spacing w:line="560" w:lineRule="exact"/>
        <w:ind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（二）</w:t>
      </w:r>
      <w:r>
        <w:rPr>
          <w:rFonts w:ascii="楷体_GB2312" w:eastAsia="楷体_GB2312"/>
          <w:b/>
          <w:sz w:val="32"/>
        </w:rPr>
        <w:t>支出总计</w:t>
      </w:r>
      <w:r>
        <w:rPr>
          <w:rFonts w:hint="eastAsia" w:ascii="楷体_GB2312" w:eastAsia="楷体_GB2312"/>
          <w:b/>
          <w:sz w:val="32"/>
          <w:lang w:val="en-US" w:eastAsia="zh-CN"/>
        </w:rPr>
        <w:t>8938.94</w:t>
      </w:r>
      <w:r>
        <w:rPr>
          <w:rFonts w:ascii="楷体_GB2312" w:eastAsia="楷体_GB2312"/>
          <w:b/>
          <w:sz w:val="32"/>
        </w:rPr>
        <w:t>万元，包括：</w:t>
      </w:r>
    </w:p>
    <w:p w14:paraId="56B85E38">
      <w:pPr>
        <w:pStyle w:val="6"/>
        <w:numPr>
          <w:ilvl w:val="0"/>
          <w:numId w:val="0"/>
        </w:numPr>
        <w:spacing w:line="560" w:lineRule="exact"/>
        <w:ind w:firstLine="960" w:firstLineChars="3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2066.16</w:t>
      </w:r>
      <w:r>
        <w:rPr>
          <w:rFonts w:ascii="仿宋_GB2312" w:eastAsia="仿宋_GB2312"/>
          <w:sz w:val="32"/>
        </w:rPr>
        <w:t>万元，占支出总计的</w:t>
      </w:r>
      <w:r>
        <w:rPr>
          <w:rFonts w:hint="eastAsia" w:ascii="仿宋_GB2312" w:eastAsia="仿宋_GB2312"/>
          <w:sz w:val="32"/>
          <w:lang w:val="en-US" w:eastAsia="zh-CN"/>
        </w:rPr>
        <w:t>24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1936.9</w:t>
      </w:r>
      <w:r>
        <w:rPr>
          <w:rFonts w:ascii="仿宋_GB2312" w:eastAsia="仿宋_GB2312"/>
          <w:sz w:val="32"/>
        </w:rPr>
        <w:t>万元，对个人和家庭的补助支出</w:t>
      </w:r>
      <w:r>
        <w:rPr>
          <w:rFonts w:hint="eastAsia" w:ascii="仿宋_GB2312" w:eastAsia="仿宋_GB2312"/>
          <w:sz w:val="32"/>
          <w:lang w:val="en-US" w:eastAsia="zh-CN"/>
        </w:rPr>
        <w:t>12.93</w:t>
      </w:r>
      <w:r>
        <w:rPr>
          <w:rFonts w:ascii="仿宋_GB2312" w:eastAsia="仿宋_GB2312"/>
          <w:sz w:val="32"/>
        </w:rPr>
        <w:t>万元，商品和服务支出</w:t>
      </w:r>
      <w:r>
        <w:rPr>
          <w:rFonts w:hint="eastAsia" w:ascii="仿宋_GB2312" w:eastAsia="仿宋_GB2312"/>
          <w:sz w:val="32"/>
          <w:lang w:val="en-US" w:eastAsia="zh-CN"/>
        </w:rPr>
        <w:t>110.72</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5.61万元</w:t>
      </w:r>
      <w:r>
        <w:rPr>
          <w:rFonts w:ascii="仿宋_GB2312" w:eastAsia="仿宋_GB2312"/>
          <w:sz w:val="32"/>
        </w:rPr>
        <w:t>。</w:t>
      </w:r>
    </w:p>
    <w:p w14:paraId="401467E0">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6872.78</w:t>
      </w:r>
      <w:r>
        <w:rPr>
          <w:rFonts w:ascii="仿宋_GB2312" w:eastAsia="仿宋_GB2312"/>
          <w:sz w:val="32"/>
        </w:rPr>
        <w:t>万元，占支出总计的</w:t>
      </w:r>
      <w:r>
        <w:rPr>
          <w:rFonts w:hint="eastAsia" w:ascii="仿宋_GB2312" w:eastAsia="仿宋_GB2312"/>
          <w:sz w:val="32"/>
          <w:lang w:val="en-US" w:eastAsia="zh-CN"/>
        </w:rPr>
        <w:t>76</w:t>
      </w:r>
      <w:r>
        <w:rPr>
          <w:rFonts w:ascii="仿宋_GB2312" w:eastAsia="仿宋_GB2312"/>
          <w:sz w:val="32"/>
        </w:rPr>
        <w:t>%。主要包括</w:t>
      </w:r>
      <w:r>
        <w:rPr>
          <w:rFonts w:hint="eastAsia" w:ascii="仿宋_GB2312" w:eastAsia="仿宋_GB2312"/>
          <w:sz w:val="32"/>
          <w:lang w:eastAsia="zh-CN"/>
        </w:rPr>
        <w:t>疾病预防控制</w:t>
      </w:r>
      <w:r>
        <w:rPr>
          <w:rFonts w:ascii="仿宋_GB2312" w:eastAsia="仿宋_GB2312"/>
          <w:sz w:val="32"/>
        </w:rPr>
        <w:t>业务支出。</w:t>
      </w:r>
    </w:p>
    <w:p w14:paraId="274C9441">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1439.88</w:t>
      </w:r>
      <w:r>
        <w:rPr>
          <w:rFonts w:ascii="仿宋_GB2312" w:eastAsia="仿宋_GB2312"/>
          <w:sz w:val="32"/>
        </w:rPr>
        <w:t>万元，增长</w:t>
      </w:r>
      <w:r>
        <w:rPr>
          <w:rFonts w:hint="eastAsia" w:ascii="仿宋_GB2312" w:eastAsia="仿宋_GB2312"/>
          <w:sz w:val="32"/>
          <w:lang w:val="en-US" w:eastAsia="zh-CN"/>
        </w:rPr>
        <w:t>19</w:t>
      </w:r>
      <w:r>
        <w:rPr>
          <w:rFonts w:ascii="仿宋_GB2312" w:eastAsia="仿宋_GB2312"/>
          <w:sz w:val="32"/>
        </w:rPr>
        <w:t>%，主要原因：</w:t>
      </w:r>
      <w:r>
        <w:rPr>
          <w:rFonts w:hint="eastAsia" w:ascii="仿宋_GB2312" w:eastAsia="仿宋_GB2312"/>
          <w:sz w:val="32"/>
          <w:lang w:eastAsia="zh-CN"/>
        </w:rPr>
        <w:t>疫情支出增加</w:t>
      </w:r>
      <w:r>
        <w:rPr>
          <w:rFonts w:ascii="仿宋_GB2312" w:eastAsia="仿宋_GB2312"/>
          <w:sz w:val="32"/>
        </w:rPr>
        <w:t>。</w:t>
      </w:r>
    </w:p>
    <w:p w14:paraId="31FFC226">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101.08</w:t>
      </w:r>
      <w:r>
        <w:rPr>
          <w:rFonts w:ascii="楷体_GB2312" w:eastAsia="楷体_GB2312"/>
          <w:b/>
          <w:sz w:val="32"/>
        </w:rPr>
        <w:t>万元</w:t>
      </w:r>
    </w:p>
    <w:p w14:paraId="7AA89821">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eastAsia="zh-CN"/>
        </w:rPr>
        <w:t>重大公共卫生项目</w:t>
      </w:r>
      <w:r>
        <w:rPr>
          <w:rFonts w:ascii="仿宋_GB2312" w:eastAsia="仿宋_GB2312"/>
          <w:sz w:val="32"/>
        </w:rPr>
        <w:t>等原因形成的结余。与上年相比，今年结转结余增加</w:t>
      </w:r>
      <w:r>
        <w:rPr>
          <w:rFonts w:hint="eastAsia" w:ascii="仿宋_GB2312" w:eastAsia="仿宋_GB2312"/>
          <w:sz w:val="32"/>
          <w:lang w:val="en-US" w:eastAsia="zh-CN"/>
        </w:rPr>
        <w:t>25.86</w:t>
      </w:r>
      <w:r>
        <w:rPr>
          <w:rFonts w:ascii="仿宋_GB2312" w:eastAsia="仿宋_GB2312"/>
          <w:sz w:val="32"/>
        </w:rPr>
        <w:t>万元，增长</w:t>
      </w:r>
      <w:r>
        <w:rPr>
          <w:rFonts w:hint="eastAsia" w:ascii="仿宋_GB2312" w:eastAsia="仿宋_GB2312"/>
          <w:sz w:val="32"/>
          <w:lang w:val="en-US" w:eastAsia="zh-CN"/>
        </w:rPr>
        <w:t>34</w:t>
      </w:r>
      <w:r>
        <w:rPr>
          <w:rFonts w:ascii="仿宋_GB2312" w:eastAsia="仿宋_GB2312"/>
          <w:sz w:val="32"/>
        </w:rPr>
        <w:t>%，主要原因：</w:t>
      </w:r>
      <w:r>
        <w:rPr>
          <w:rFonts w:hint="eastAsia" w:ascii="仿宋_GB2312" w:eastAsia="仿宋_GB2312"/>
          <w:sz w:val="32"/>
          <w:lang w:eastAsia="zh-CN"/>
        </w:rPr>
        <w:t>重大公共卫生项目资金增加</w:t>
      </w:r>
      <w:r>
        <w:rPr>
          <w:rFonts w:ascii="仿宋_GB2312" w:eastAsia="仿宋_GB2312"/>
          <w:sz w:val="32"/>
        </w:rPr>
        <w:t>。</w:t>
      </w:r>
    </w:p>
    <w:p w14:paraId="5B3F4B4A">
      <w:pPr>
        <w:pStyle w:val="6"/>
        <w:spacing w:line="560" w:lineRule="exact"/>
        <w:ind w:firstLine="660"/>
        <w:rPr>
          <w:rFonts w:hint="default" w:ascii="黑体" w:eastAsia="黑体"/>
          <w:sz w:val="32"/>
        </w:rPr>
      </w:pPr>
      <w:r>
        <w:rPr>
          <w:rFonts w:ascii="黑体" w:eastAsia="黑体"/>
          <w:sz w:val="32"/>
        </w:rPr>
        <w:t>二、财政拨款收入支出决算情况说明</w:t>
      </w:r>
    </w:p>
    <w:p w14:paraId="27D92C5B">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20A48257">
      <w:pPr>
        <w:pStyle w:val="6"/>
        <w:spacing w:line="560" w:lineRule="exact"/>
        <w:ind w:firstLine="660"/>
        <w:rPr>
          <w:rFonts w:hint="eastAsia" w:ascii="仿宋_GB2312" w:eastAsia="仿宋_GB2312"/>
          <w:sz w:val="32"/>
          <w:lang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8938.94</w:t>
      </w:r>
      <w:r>
        <w:rPr>
          <w:rFonts w:ascii="仿宋_GB2312" w:eastAsia="仿宋_GB2312"/>
          <w:sz w:val="32"/>
        </w:rPr>
        <w:t>万元，其中：基本支出</w:t>
      </w:r>
      <w:r>
        <w:rPr>
          <w:rFonts w:hint="eastAsia" w:ascii="仿宋_GB2312" w:eastAsia="仿宋_GB2312"/>
          <w:sz w:val="32"/>
          <w:lang w:val="en-US" w:eastAsia="zh-CN"/>
        </w:rPr>
        <w:t>2066.16</w:t>
      </w:r>
      <w:r>
        <w:rPr>
          <w:rFonts w:ascii="仿宋_GB2312" w:eastAsia="仿宋_GB2312"/>
          <w:sz w:val="32"/>
        </w:rPr>
        <w:t>万元，项目支出</w:t>
      </w:r>
      <w:r>
        <w:rPr>
          <w:rFonts w:hint="eastAsia" w:ascii="仿宋_GB2312" w:eastAsia="仿宋_GB2312"/>
          <w:sz w:val="32"/>
          <w:lang w:val="en-US" w:eastAsia="zh-CN"/>
        </w:rPr>
        <w:t>6872.78</w:t>
      </w:r>
      <w:r>
        <w:rPr>
          <w:rFonts w:ascii="仿宋_GB2312" w:eastAsia="仿宋_GB2312"/>
          <w:sz w:val="32"/>
        </w:rPr>
        <w:t>万元。与上年相比，财政拨款支出增加</w:t>
      </w:r>
      <w:r>
        <w:rPr>
          <w:rFonts w:hint="eastAsia" w:ascii="仿宋_GB2312" w:eastAsia="仿宋_GB2312"/>
          <w:sz w:val="32"/>
          <w:lang w:val="en-US" w:eastAsia="zh-CN"/>
        </w:rPr>
        <w:t>1439.88</w:t>
      </w:r>
      <w:r>
        <w:rPr>
          <w:rFonts w:ascii="仿宋_GB2312" w:eastAsia="仿宋_GB2312"/>
          <w:sz w:val="32"/>
        </w:rPr>
        <w:t>万元，增长</w:t>
      </w:r>
      <w:r>
        <w:rPr>
          <w:rFonts w:hint="eastAsia" w:ascii="仿宋_GB2312" w:eastAsia="仿宋_GB2312"/>
          <w:sz w:val="32"/>
          <w:lang w:val="en-US" w:eastAsia="zh-CN"/>
        </w:rPr>
        <w:t>19</w:t>
      </w:r>
      <w:r>
        <w:rPr>
          <w:rFonts w:ascii="仿宋_GB2312" w:eastAsia="仿宋_GB2312"/>
          <w:sz w:val="32"/>
        </w:rPr>
        <w:t>%，主要原因：主要原因：</w:t>
      </w:r>
      <w:r>
        <w:rPr>
          <w:rFonts w:hint="eastAsia" w:ascii="仿宋_GB2312" w:eastAsia="仿宋_GB2312"/>
          <w:sz w:val="32"/>
          <w:lang w:eastAsia="zh-CN"/>
        </w:rPr>
        <w:t>疫情支出增加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279</w:t>
      </w:r>
      <w:r>
        <w:rPr>
          <w:rFonts w:ascii="仿宋_GB2312" w:eastAsia="仿宋_GB2312"/>
          <w:sz w:val="32"/>
        </w:rPr>
        <w:t>%，其中：基本支出完成年初预算的</w:t>
      </w:r>
      <w:r>
        <w:rPr>
          <w:rFonts w:hint="eastAsia" w:ascii="仿宋_GB2312" w:eastAsia="仿宋_GB2312"/>
          <w:sz w:val="32"/>
          <w:lang w:val="en-US" w:eastAsia="zh-CN"/>
        </w:rPr>
        <w:t>105</w:t>
      </w:r>
      <w:r>
        <w:rPr>
          <w:rFonts w:ascii="仿宋_GB2312" w:eastAsia="仿宋_GB2312"/>
          <w:sz w:val="32"/>
        </w:rPr>
        <w:t>%，项目支出完成年初预算的</w:t>
      </w:r>
      <w:r>
        <w:rPr>
          <w:rFonts w:hint="eastAsia" w:ascii="仿宋_GB2312" w:eastAsia="仿宋_GB2312"/>
          <w:sz w:val="32"/>
          <w:lang w:val="en-US" w:eastAsia="zh-CN"/>
        </w:rPr>
        <w:t>553</w:t>
      </w:r>
      <w:r>
        <w:rPr>
          <w:rFonts w:ascii="仿宋_GB2312" w:eastAsia="仿宋_GB2312"/>
          <w:sz w:val="32"/>
        </w:rPr>
        <w:t>%。</w:t>
      </w:r>
      <w:r>
        <w:rPr>
          <w:rFonts w:hint="eastAsia" w:ascii="仿宋_GB2312" w:eastAsia="仿宋_GB2312"/>
          <w:sz w:val="32"/>
          <w:lang w:eastAsia="zh-CN"/>
        </w:rPr>
        <w:t>由于疫情原因，预算增加。</w:t>
      </w:r>
    </w:p>
    <w:p w14:paraId="238BED79">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5576DA53">
      <w:pPr>
        <w:numPr>
          <w:ilvl w:val="0"/>
          <w:numId w:val="0"/>
        </w:numPr>
        <w:spacing w:line="560" w:lineRule="exact"/>
        <w:ind w:left="660" w:leftChars="0"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6289.36</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202.73</w:t>
      </w:r>
      <w:r>
        <w:rPr>
          <w:rFonts w:ascii="仿宋_GB2312" w:hAnsi="宋体" w:eastAsia="仿宋_GB2312"/>
          <w:sz w:val="32"/>
          <w:szCs w:val="32"/>
        </w:rPr>
        <w:t>万元，占</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5883.68</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93</w:t>
      </w:r>
      <w:r>
        <w:rPr>
          <w:rFonts w:ascii="仿宋_GB2312" w:hAnsi="宋体" w:eastAsia="仿宋_GB2312"/>
          <w:sz w:val="32"/>
          <w:szCs w:val="32"/>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202.95</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lang w:eastAsia="zh-CN"/>
        </w:rPr>
        <w:t>。</w:t>
      </w:r>
    </w:p>
    <w:p w14:paraId="38333DE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1.社会保障和就业支出</w:t>
      </w:r>
      <w:r>
        <w:rPr>
          <w:rFonts w:hint="eastAsia" w:ascii="仿宋_GB2312" w:hAnsi="宋体" w:eastAsia="仿宋_GB2312"/>
          <w:sz w:val="32"/>
          <w:szCs w:val="32"/>
          <w:lang w:val="en-US" w:eastAsia="zh-CN"/>
        </w:rPr>
        <w:t>202.73</w:t>
      </w:r>
      <w:r>
        <w:rPr>
          <w:rFonts w:hint="eastAsia" w:ascii="仿宋_GB2312" w:hAnsi="宋体" w:eastAsia="仿宋_GB2312"/>
          <w:sz w:val="32"/>
          <w:szCs w:val="32"/>
        </w:rPr>
        <w:t>万元，具体包括：</w:t>
      </w:r>
    </w:p>
    <w:p w14:paraId="6784248B">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202.73</w:t>
      </w:r>
      <w:r>
        <w:rPr>
          <w:rFonts w:hint="eastAsia" w:ascii="仿宋_GB2312" w:hAnsi="宋体" w:eastAsia="仿宋_GB2312"/>
          <w:sz w:val="32"/>
          <w:szCs w:val="32"/>
        </w:rPr>
        <w:t>万元，主要是养老和职业年金支出，完成年初预算的100%。</w:t>
      </w:r>
    </w:p>
    <w:p w14:paraId="78A9B7C8">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2.卫生健康支出</w:t>
      </w:r>
      <w:r>
        <w:rPr>
          <w:rFonts w:hint="eastAsia" w:ascii="仿宋_GB2312" w:hAnsi="宋体" w:eastAsia="仿宋_GB2312"/>
          <w:sz w:val="32"/>
          <w:szCs w:val="32"/>
          <w:lang w:val="en-US" w:eastAsia="zh-CN"/>
        </w:rPr>
        <w:t>5883.68</w:t>
      </w:r>
      <w:r>
        <w:rPr>
          <w:rFonts w:hint="eastAsia" w:ascii="仿宋_GB2312" w:hAnsi="宋体" w:eastAsia="仿宋_GB2312"/>
          <w:sz w:val="32"/>
          <w:szCs w:val="32"/>
        </w:rPr>
        <w:t>万元，具体包括：</w:t>
      </w:r>
    </w:p>
    <w:p w14:paraId="1347EF9B">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5883.68</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公共卫生</w:t>
      </w:r>
      <w:r>
        <w:rPr>
          <w:rFonts w:hint="eastAsia" w:ascii="仿宋_GB2312" w:hAnsi="宋体" w:eastAsia="仿宋_GB2312"/>
          <w:sz w:val="32"/>
          <w:szCs w:val="32"/>
        </w:rPr>
        <w:t>和</w:t>
      </w:r>
      <w:r>
        <w:rPr>
          <w:rFonts w:hint="eastAsia" w:ascii="仿宋_GB2312" w:hAnsi="宋体" w:eastAsia="仿宋_GB2312"/>
          <w:sz w:val="32"/>
          <w:szCs w:val="32"/>
          <w:lang w:eastAsia="zh-CN"/>
        </w:rPr>
        <w:t>行政</w:t>
      </w:r>
      <w:r>
        <w:rPr>
          <w:rFonts w:hint="eastAsia" w:ascii="仿宋_GB2312" w:hAnsi="宋体" w:eastAsia="仿宋_GB2312"/>
          <w:sz w:val="32"/>
          <w:szCs w:val="32"/>
        </w:rPr>
        <w:t>事业医疗支出，完成年初预算的</w:t>
      </w:r>
      <w:r>
        <w:rPr>
          <w:rFonts w:hint="eastAsia" w:ascii="仿宋_GB2312" w:hAnsi="宋体" w:eastAsia="仿宋_GB2312"/>
          <w:sz w:val="32"/>
          <w:szCs w:val="32"/>
          <w:lang w:val="en-US" w:eastAsia="zh-CN"/>
        </w:rPr>
        <w:t>184</w:t>
      </w:r>
      <w:r>
        <w:rPr>
          <w:rFonts w:hint="eastAsia" w:ascii="仿宋_GB2312" w:hAnsi="宋体" w:eastAsia="仿宋_GB2312"/>
          <w:sz w:val="32"/>
          <w:szCs w:val="32"/>
        </w:rPr>
        <w:t>%。</w:t>
      </w:r>
      <w:r>
        <w:rPr>
          <w:rFonts w:ascii="仿宋_GB2312" w:hAnsi="宋体" w:eastAsia="仿宋_GB2312"/>
          <w:sz w:val="32"/>
          <w:szCs w:val="32"/>
        </w:rPr>
        <w:t>决算数</w:t>
      </w:r>
      <w:r>
        <w:rPr>
          <w:rFonts w:hint="eastAsia" w:ascii="仿宋_GB2312" w:hAnsi="宋体"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eastAsia="zh-CN"/>
        </w:rPr>
        <w:t>疫情支出增加</w:t>
      </w:r>
      <w:r>
        <w:rPr>
          <w:rFonts w:ascii="仿宋_GB2312" w:hAnsi="宋体" w:eastAsia="仿宋_GB2312"/>
          <w:sz w:val="32"/>
          <w:szCs w:val="32"/>
        </w:rPr>
        <w:t>。</w:t>
      </w:r>
    </w:p>
    <w:p w14:paraId="7780F958">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3.住房保障支出</w:t>
      </w:r>
      <w:r>
        <w:rPr>
          <w:rFonts w:hint="eastAsia" w:ascii="仿宋_GB2312" w:hAnsi="宋体" w:eastAsia="仿宋_GB2312"/>
          <w:sz w:val="32"/>
          <w:szCs w:val="32"/>
          <w:lang w:val="en-US" w:eastAsia="zh-CN"/>
        </w:rPr>
        <w:t>216.64</w:t>
      </w:r>
      <w:r>
        <w:rPr>
          <w:rFonts w:hint="eastAsia" w:ascii="仿宋_GB2312" w:hAnsi="宋体" w:eastAsia="仿宋_GB2312"/>
          <w:sz w:val="32"/>
          <w:szCs w:val="32"/>
        </w:rPr>
        <w:t>万元，具体包括：</w:t>
      </w:r>
    </w:p>
    <w:p w14:paraId="2C44F9EF">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216.64</w:t>
      </w:r>
      <w:r>
        <w:rPr>
          <w:rFonts w:hint="eastAsia" w:ascii="仿宋_GB2312" w:hAnsi="宋体" w:eastAsia="仿宋_GB2312"/>
          <w:sz w:val="32"/>
          <w:szCs w:val="32"/>
        </w:rPr>
        <w:t>万元，主要是住房公积金支出，完成年初预算的</w:t>
      </w:r>
      <w:r>
        <w:rPr>
          <w:rFonts w:hint="eastAsia" w:ascii="仿宋_GB2312" w:hAnsi="宋体" w:eastAsia="仿宋_GB2312"/>
          <w:sz w:val="32"/>
          <w:szCs w:val="32"/>
          <w:lang w:val="en-US" w:eastAsia="zh-CN"/>
        </w:rPr>
        <w:t>83</w:t>
      </w:r>
      <w:r>
        <w:rPr>
          <w:rFonts w:hint="eastAsia" w:ascii="仿宋_GB2312" w:hAnsi="宋体" w:eastAsia="仿宋_GB2312"/>
          <w:sz w:val="32"/>
          <w:szCs w:val="32"/>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公积金缴存基数调整</w:t>
      </w:r>
      <w:r>
        <w:rPr>
          <w:rFonts w:ascii="仿宋_GB2312" w:hAnsi="宋体" w:eastAsia="仿宋_GB2312"/>
          <w:sz w:val="32"/>
          <w:szCs w:val="32"/>
        </w:rPr>
        <w:t>。</w:t>
      </w:r>
    </w:p>
    <w:p w14:paraId="17E892B8">
      <w:pPr>
        <w:numPr>
          <w:ilvl w:val="0"/>
          <w:numId w:val="0"/>
        </w:numPr>
        <w:spacing w:line="540" w:lineRule="exact"/>
        <w:ind w:firstLine="321" w:firstLineChars="1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29C55461">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eastAsia="zh-CN"/>
        </w:rPr>
        <w:t>本年未发生此项资金。</w:t>
      </w:r>
    </w:p>
    <w:p w14:paraId="7AB612AD">
      <w:pPr>
        <w:numPr>
          <w:ilvl w:val="0"/>
          <w:numId w:val="0"/>
        </w:numPr>
        <w:spacing w:line="560" w:lineRule="exact"/>
        <w:ind w:left="0" w:leftChars="0" w:firstLine="660" w:firstLine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14:paraId="38A10037">
      <w:pPr>
        <w:numPr>
          <w:ilvl w:val="0"/>
          <w:numId w:val="0"/>
        </w:numPr>
        <w:spacing w:line="560" w:lineRule="exact"/>
        <w:ind w:left="660" w:leftChars="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eastAsia="zh-CN"/>
        </w:rPr>
        <w:t>本年未发生此项资金。</w:t>
      </w:r>
    </w:p>
    <w:p w14:paraId="2B88A245">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655220C2">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0.97</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0.97</w:t>
      </w:r>
      <w:r>
        <w:rPr>
          <w:rFonts w:hint="eastAsia" w:ascii="仿宋_GB2312" w:hAnsi="宋体" w:eastAsia="仿宋_GB2312"/>
          <w:sz w:val="32"/>
          <w:szCs w:val="32"/>
        </w:rPr>
        <w:t>万元。</w:t>
      </w:r>
    </w:p>
    <w:p w14:paraId="4333B1D5">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均无出国任务</w:t>
      </w:r>
      <w:r>
        <w:rPr>
          <w:rFonts w:hint="eastAsia" w:ascii="仿宋_GB2312" w:hAnsi="宋体" w:eastAsia="仿宋_GB2312"/>
          <w:sz w:val="32"/>
          <w:szCs w:val="32"/>
        </w:rPr>
        <w:t>。</w:t>
      </w:r>
    </w:p>
    <w:p w14:paraId="73D161F8">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w:t>
      </w:r>
    </w:p>
    <w:p w14:paraId="1C05C7FD">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0.97</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51.59</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99</w:t>
      </w:r>
      <w:r>
        <w:rPr>
          <w:rFonts w:hint="eastAsia" w:ascii="仿宋_GB2312" w:hAnsi="宋体" w:eastAsia="仿宋_GB2312"/>
          <w:sz w:val="32"/>
          <w:szCs w:val="32"/>
        </w:rPr>
        <w:t>%，主要</w:t>
      </w:r>
      <w:r>
        <w:rPr>
          <w:rFonts w:hint="eastAsia" w:ascii="仿宋_GB2312" w:hAnsi="宋体" w:eastAsia="仿宋_GB2312"/>
          <w:sz w:val="32"/>
          <w:szCs w:val="32"/>
          <w:lang w:eastAsia="zh-CN"/>
        </w:rPr>
        <w:t>无公务车购买</w:t>
      </w:r>
      <w:r>
        <w:rPr>
          <w:rFonts w:hint="eastAsia" w:ascii="仿宋_GB2312" w:hAnsi="宋体" w:eastAsia="仿宋_GB2312"/>
          <w:sz w:val="32"/>
          <w:szCs w:val="32"/>
        </w:rPr>
        <w:t>。</w:t>
      </w:r>
    </w:p>
    <w:p w14:paraId="69D26BF7">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0.97</w:t>
      </w:r>
      <w:r>
        <w:rPr>
          <w:rFonts w:hint="eastAsia" w:ascii="仿宋_GB2312" w:hAnsi="宋体" w:eastAsia="仿宋_GB2312"/>
          <w:sz w:val="32"/>
          <w:szCs w:val="32"/>
        </w:rPr>
        <w:t>万元，主要用于</w:t>
      </w:r>
      <w:r>
        <w:rPr>
          <w:rFonts w:hint="eastAsia" w:ascii="仿宋_GB2312" w:eastAsia="仿宋_GB2312"/>
          <w:sz w:val="32"/>
          <w:szCs w:val="32"/>
          <w:lang w:eastAsia="zh-CN"/>
        </w:rPr>
        <w:t>支付</w:t>
      </w:r>
      <w:r>
        <w:rPr>
          <w:rFonts w:hint="eastAsia" w:ascii="仿宋_GB2312" w:eastAsia="仿宋_GB2312"/>
          <w:sz w:val="32"/>
          <w:szCs w:val="32"/>
          <w:lang w:val="en-US" w:eastAsia="zh-CN"/>
        </w:rPr>
        <w:t>2021年车辆购置尾款</w:t>
      </w:r>
      <w:r>
        <w:rPr>
          <w:rFonts w:hint="eastAsia" w:ascii="仿宋_GB2312" w:hAnsi="宋体" w:eastAsia="仿宋_GB2312"/>
          <w:sz w:val="32"/>
          <w:szCs w:val="32"/>
        </w:rPr>
        <w:t>等,当年购置公务用车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14:paraId="6E7EE274">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076FB429">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2066.16</w:t>
      </w:r>
      <w:r>
        <w:rPr>
          <w:rFonts w:ascii="仿宋_GB2312" w:eastAsia="仿宋_GB2312"/>
          <w:sz w:val="32"/>
        </w:rPr>
        <w:t>万元，其中：人员经费</w:t>
      </w:r>
      <w:r>
        <w:rPr>
          <w:rFonts w:hint="eastAsia" w:ascii="仿宋_GB2312" w:eastAsia="仿宋_GB2312"/>
          <w:sz w:val="32"/>
          <w:lang w:val="en-US" w:eastAsia="zh-CN"/>
        </w:rPr>
        <w:t>1949.83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116.33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1DAA0D15">
      <w:pPr>
        <w:pStyle w:val="6"/>
        <w:spacing w:line="560" w:lineRule="exact"/>
        <w:ind w:firstLine="640"/>
        <w:rPr>
          <w:rFonts w:hint="default" w:ascii="黑体" w:eastAsia="黑体"/>
          <w:sz w:val="32"/>
        </w:rPr>
      </w:pPr>
      <w:r>
        <w:rPr>
          <w:rFonts w:ascii="黑体" w:eastAsia="黑体"/>
          <w:sz w:val="32"/>
        </w:rPr>
        <w:t>五、其他重要事项的情况说明</w:t>
      </w:r>
    </w:p>
    <w:p w14:paraId="345C74EF">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3D03DBE5">
      <w:pPr>
        <w:pStyle w:val="6"/>
        <w:spacing w:line="560" w:lineRule="exact"/>
        <w:ind w:firstLine="640"/>
        <w:rPr>
          <w:rFonts w:hint="default" w:ascii="楷体_GB2312" w:eastAsia="楷体_GB2312"/>
          <w:b/>
          <w:bCs w:val="0"/>
          <w:color w:val="auto"/>
          <w:sz w:val="32"/>
          <w:lang w:val="en-US"/>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w:t>
      </w:r>
      <w:r>
        <w:rPr>
          <w:rFonts w:hint="eastAsia" w:ascii="楷体_GB2312" w:hAnsi="黑体" w:eastAsia="楷体_GB2312"/>
          <w:b w:val="0"/>
          <w:bCs/>
          <w:color w:val="auto"/>
          <w:sz w:val="32"/>
          <w:szCs w:val="32"/>
          <w:lang w:eastAsia="zh-CN"/>
        </w:rPr>
        <w:t>与上年持平，主要原因是</w:t>
      </w:r>
      <w:r>
        <w:rPr>
          <w:rFonts w:hint="eastAsia" w:ascii="楷体_GB2312" w:hAnsi="黑体" w:eastAsia="楷体_GB2312"/>
          <w:b w:val="0"/>
          <w:bCs/>
          <w:color w:val="auto"/>
          <w:sz w:val="32"/>
          <w:szCs w:val="32"/>
          <w:lang w:val="en-US" w:eastAsia="zh-CN"/>
        </w:rPr>
        <w:t>我单位</w:t>
      </w:r>
      <w:r>
        <w:rPr>
          <w:rFonts w:hint="eastAsia" w:ascii="楷体_GB2312" w:hAnsi="黑体" w:eastAsia="楷体_GB2312"/>
          <w:b w:val="0"/>
          <w:bCs/>
          <w:color w:val="auto"/>
          <w:sz w:val="32"/>
          <w:szCs w:val="32"/>
          <w:lang w:eastAsia="zh-CN"/>
        </w:rPr>
        <w:t>属于事业单位，无机关运行经费。</w:t>
      </w:r>
    </w:p>
    <w:p w14:paraId="281CE19C">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2D395D66">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26853073.45</w:t>
      </w:r>
      <w:r>
        <w:rPr>
          <w:rFonts w:ascii="仿宋_GB2312" w:eastAsia="仿宋_GB2312"/>
          <w:sz w:val="32"/>
        </w:rPr>
        <w:t>万元，其中：政府采购货物支出</w:t>
      </w:r>
      <w:r>
        <w:rPr>
          <w:rFonts w:hint="eastAsia" w:ascii="仿宋_GB2312" w:eastAsia="仿宋_GB2312"/>
          <w:sz w:val="32"/>
          <w:lang w:val="en-US" w:eastAsia="zh-CN"/>
        </w:rPr>
        <w:t>26853073.45</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26853073.450</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100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38950B85">
      <w:pPr>
        <w:pStyle w:val="6"/>
        <w:spacing w:line="560" w:lineRule="exact"/>
        <w:ind w:firstLine="640"/>
        <w:rPr>
          <w:rFonts w:hint="default" w:ascii="仿宋_GB2312" w:eastAsia="仿宋_GB2312"/>
          <w:sz w:val="32"/>
        </w:rPr>
      </w:pPr>
    </w:p>
    <w:p w14:paraId="1B3CB9C4">
      <w:pPr>
        <w:pStyle w:val="6"/>
        <w:numPr>
          <w:ilvl w:val="0"/>
          <w:numId w:val="0"/>
        </w:numPr>
        <w:spacing w:line="560" w:lineRule="exact"/>
        <w:ind w:left="0" w:leftChars="0"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w:t>
      </w:r>
      <w:r>
        <w:rPr>
          <w:rFonts w:hint="eastAsia" w:ascii="楷体_GB2312" w:eastAsia="楷体_GB2312" w:cstheme="minorBidi"/>
          <w:b/>
          <w:kern w:val="2"/>
          <w:sz w:val="32"/>
          <w:szCs w:val="22"/>
          <w:lang w:val="en-US" w:eastAsia="zh-CN" w:bidi="ar-SA"/>
        </w:rPr>
        <w:t>三</w:t>
      </w:r>
      <w:r>
        <w:rPr>
          <w:rFonts w:hint="eastAsia" w:ascii="楷体_GB2312" w:hAnsi="宋体" w:eastAsia="楷体_GB2312" w:cstheme="minorBidi"/>
          <w:b/>
          <w:kern w:val="2"/>
          <w:sz w:val="32"/>
          <w:szCs w:val="22"/>
          <w:lang w:val="en-US" w:eastAsia="zh-CN" w:bidi="ar-SA"/>
        </w:rPr>
        <w:t>）</w:t>
      </w:r>
      <w:r>
        <w:rPr>
          <w:rFonts w:ascii="楷体_GB2312" w:eastAsia="楷体_GB2312"/>
          <w:b/>
          <w:sz w:val="32"/>
        </w:rPr>
        <w:t>国有资产占用情况。</w:t>
      </w:r>
    </w:p>
    <w:p w14:paraId="07DC4C7A">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6</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2</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辆，其他用车主要是</w:t>
      </w:r>
      <w:r>
        <w:rPr>
          <w:rFonts w:hint="eastAsia" w:ascii="仿宋_GB2312" w:eastAsia="仿宋_GB2312"/>
          <w:sz w:val="32"/>
          <w:lang w:val="en-US" w:eastAsia="zh-CN"/>
        </w:rPr>
        <w:t>4辆</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42E5D045">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30FD70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434160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3659.80</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14:paraId="7D0D39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14:paraId="373711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2022年本单位不涉及特定项目类绩效评价</w:t>
      </w:r>
      <w:r>
        <w:rPr>
          <w:rFonts w:hint="eastAsia" w:hAnsi="宋体" w:eastAsia="仿宋_GB2312" w:cs="仿宋_GB2312"/>
          <w:color w:val="auto"/>
          <w:kern w:val="2"/>
          <w:sz w:val="32"/>
          <w:szCs w:val="32"/>
          <w:highlight w:val="none"/>
          <w:shd w:val="clear" w:color="auto" w:fill="auto"/>
          <w:lang w:val="en-US" w:eastAsia="zh-CN" w:bidi="ar"/>
        </w:rPr>
        <w:t>。</w:t>
      </w:r>
    </w:p>
    <w:p w14:paraId="3C0EE49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7D6C4F73">
      <w:pPr>
        <w:keepNext w:val="0"/>
        <w:keepLines w:val="0"/>
        <w:pageBreakBefore w:val="0"/>
        <w:widowControl/>
        <w:numPr>
          <w:ilvl w:val="0"/>
          <w:numId w:val="0"/>
        </w:numPr>
        <w:suppressLineNumbers w:val="0"/>
        <w:tabs>
          <w:tab w:val="left" w:pos="1245"/>
        </w:tabs>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规范预算管理、按规定调整下一年度预算金额、提升预算执行效率和效益</w:t>
      </w:r>
      <w:r>
        <w:rPr>
          <w:rFonts w:hint="eastAsia" w:hAnsi="宋体" w:eastAsia="仿宋_GB2312" w:cs="仿宋_GB2312"/>
          <w:color w:val="auto"/>
          <w:kern w:val="2"/>
          <w:sz w:val="32"/>
          <w:szCs w:val="32"/>
          <w:highlight w:val="none"/>
          <w:shd w:val="clear" w:color="auto" w:fill="auto"/>
          <w:lang w:val="en-US" w:eastAsia="zh-CN" w:bidi="ar"/>
        </w:rPr>
        <w:t>。</w:t>
      </w:r>
    </w:p>
    <w:p w14:paraId="4BE6E6EE">
      <w:pPr>
        <w:keepNext w:val="0"/>
        <w:keepLines w:val="0"/>
        <w:pageBreakBefore w:val="0"/>
        <w:widowControl/>
        <w:numPr>
          <w:ilvl w:val="0"/>
          <w:numId w:val="0"/>
        </w:numPr>
        <w:suppressLineNumbers w:val="0"/>
        <w:tabs>
          <w:tab w:val="left" w:pos="1245"/>
        </w:tabs>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12EEF7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建议继续安排，按实际发生情况安排下一年度预算金额</w:t>
      </w:r>
      <w:r>
        <w:rPr>
          <w:rFonts w:hint="eastAsia" w:hAnsi="宋体" w:eastAsia="仿宋_GB2312" w:cs="仿宋_GB2312"/>
          <w:color w:val="auto"/>
          <w:kern w:val="2"/>
          <w:sz w:val="32"/>
          <w:szCs w:val="32"/>
          <w:highlight w:val="none"/>
          <w:shd w:val="clear" w:color="auto" w:fill="auto"/>
          <w:lang w:val="en-US" w:eastAsia="zh-CN" w:bidi="ar"/>
        </w:rPr>
        <w:t>。</w:t>
      </w:r>
    </w:p>
    <w:p w14:paraId="02432F3A">
      <w:pPr>
        <w:widowControl/>
        <w:spacing w:line="560" w:lineRule="exact"/>
        <w:ind w:firstLine="723" w:firstLineChars="200"/>
        <w:rPr>
          <w:rFonts w:hint="default"/>
          <w:b/>
          <w:sz w:val="36"/>
        </w:rPr>
      </w:pPr>
    </w:p>
    <w:p w14:paraId="27E38021">
      <w:pPr>
        <w:pStyle w:val="6"/>
        <w:spacing w:line="560" w:lineRule="exact"/>
        <w:rPr>
          <w:rFonts w:hint="default"/>
          <w:b/>
          <w:sz w:val="36"/>
        </w:rPr>
      </w:pPr>
    </w:p>
    <w:p w14:paraId="3BDD7727">
      <w:pPr>
        <w:pStyle w:val="9"/>
        <w:autoSpaceDN w:val="0"/>
        <w:spacing w:line="560" w:lineRule="exact"/>
        <w:ind w:firstLine="2530" w:firstLineChars="700"/>
        <w:rPr>
          <w:b/>
          <w:bCs/>
          <w:sz w:val="36"/>
          <w:szCs w:val="36"/>
        </w:rPr>
      </w:pPr>
      <w:r>
        <w:rPr>
          <w:rFonts w:hint="eastAsia"/>
          <w:b/>
          <w:bCs/>
          <w:sz w:val="36"/>
          <w:szCs w:val="36"/>
        </w:rPr>
        <w:t>第三部分 名词解释</w:t>
      </w:r>
    </w:p>
    <w:p w14:paraId="460D5ABE">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626638C8">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697CA1BB">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76221C3A">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2345F749">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22B27EEC">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2A20316D">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5677BEA3">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0A0B07AE">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0B2E2C5D">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5EA4C798">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51C03D41">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3612DA2A">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391B5D21">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1E50FE3">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E5D88EF">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45086436">
      <w:pPr>
        <w:pStyle w:val="6"/>
        <w:spacing w:line="560" w:lineRule="exact"/>
        <w:ind w:firstLine="640"/>
        <w:rPr>
          <w:rFonts w:hint="default" w:ascii="仿宋_GB2312" w:eastAsia="仿宋_GB2312"/>
          <w:i/>
          <w:sz w:val="32"/>
          <w:u w:val="singl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39A150C4">
      <w:pPr>
        <w:pStyle w:val="6"/>
        <w:spacing w:line="560" w:lineRule="exact"/>
        <w:ind w:firstLine="640"/>
        <w:rPr>
          <w:rFonts w:hint="default" w:ascii="仿宋_GB2312" w:eastAsia="仿宋_GB2312"/>
          <w:i/>
          <w:sz w:val="32"/>
          <w:u w:val="single"/>
        </w:rPr>
      </w:pPr>
    </w:p>
    <w:p w14:paraId="77F49B3D">
      <w:pPr>
        <w:pStyle w:val="6"/>
        <w:spacing w:line="560" w:lineRule="atLeast"/>
        <w:jc w:val="left"/>
        <w:rPr>
          <w:rFonts w:hint="default" w:ascii="仿宋_GB2312" w:hAnsi="仿宋_GB2312" w:eastAsia="仿宋_GB2312" w:cs="仿宋_GB2312"/>
          <w:b/>
          <w:sz w:val="52"/>
          <w:szCs w:val="52"/>
        </w:rPr>
      </w:pPr>
    </w:p>
    <w:p w14:paraId="7077826E">
      <w:pPr>
        <w:pStyle w:val="6"/>
        <w:spacing w:line="560" w:lineRule="atLeast"/>
        <w:jc w:val="left"/>
        <w:rPr>
          <w:rFonts w:hint="default" w:ascii="仿宋_GB2312" w:hAnsi="仿宋_GB2312" w:eastAsia="仿宋_GB2312" w:cs="仿宋_GB2312"/>
          <w:b/>
          <w:sz w:val="52"/>
          <w:szCs w:val="52"/>
        </w:rPr>
      </w:pPr>
    </w:p>
    <w:p w14:paraId="282B07C0">
      <w:pPr>
        <w:pStyle w:val="6"/>
        <w:spacing w:line="560" w:lineRule="atLeast"/>
        <w:jc w:val="left"/>
        <w:rPr>
          <w:rFonts w:hint="default" w:ascii="仿宋_GB2312" w:hAnsi="仿宋_GB2312" w:eastAsia="仿宋_GB2312" w:cs="仿宋_GB2312"/>
          <w:b/>
          <w:sz w:val="52"/>
          <w:szCs w:val="52"/>
        </w:rPr>
      </w:pPr>
    </w:p>
    <w:p w14:paraId="2183BC81">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浑南区疾病预防控制中心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6FE5FFD7">
      <w:pPr>
        <w:rPr>
          <w:rFonts w:hint="default" w:ascii="仿宋_GB2312" w:hAnsi="宋体" w:eastAsia="仿宋_GB2312"/>
          <w:kern w:val="0"/>
          <w:sz w:val="32"/>
        </w:rPr>
      </w:pPr>
    </w:p>
    <w:p w14:paraId="0BEE10D2">
      <w:pPr>
        <w:rPr>
          <w:rFonts w:hint="default" w:ascii="仿宋_GB2312" w:hAnsi="宋体" w:eastAsia="仿宋_GB2312"/>
          <w:kern w:val="0"/>
          <w:sz w:val="32"/>
        </w:rPr>
      </w:pPr>
    </w:p>
    <w:p w14:paraId="313D25F8">
      <w:pPr>
        <w:rPr>
          <w:rFonts w:hint="default" w:ascii="仿宋_GB2312" w:hAnsi="宋体" w:eastAsia="仿宋_GB2312"/>
          <w:kern w:val="0"/>
          <w:sz w:val="32"/>
        </w:rPr>
      </w:pPr>
    </w:p>
    <w:p w14:paraId="33EBA7A3">
      <w:pPr>
        <w:rPr>
          <w:rFonts w:hint="default" w:ascii="仿宋_GB2312" w:hAnsi="宋体" w:eastAsia="仿宋_GB2312"/>
          <w:kern w:val="0"/>
          <w:sz w:val="32"/>
        </w:rPr>
      </w:pPr>
    </w:p>
    <w:p w14:paraId="52A818C6">
      <w:pPr>
        <w:rPr>
          <w:rFonts w:hint="default" w:ascii="仿宋_GB2312" w:hAnsi="宋体" w:eastAsia="仿宋_GB2312"/>
          <w:kern w:val="0"/>
          <w:sz w:val="32"/>
        </w:rPr>
      </w:pPr>
    </w:p>
    <w:p w14:paraId="197D2A0B">
      <w:pPr>
        <w:rPr>
          <w:rFonts w:hint="default" w:ascii="仿宋_GB2312" w:hAnsi="宋体" w:eastAsia="仿宋_GB2312"/>
          <w:kern w:val="0"/>
          <w:sz w:val="32"/>
        </w:rPr>
      </w:pPr>
    </w:p>
    <w:p w14:paraId="4569DE6F">
      <w:pPr>
        <w:jc w:val="center"/>
        <w:rPr>
          <w:rFonts w:hint="eastAsia" w:ascii="宋体" w:hAnsi="宋体"/>
          <w:b/>
          <w:sz w:val="52"/>
          <w:szCs w:val="52"/>
        </w:rPr>
      </w:pPr>
    </w:p>
    <w:p w14:paraId="0B242C32">
      <w:pPr>
        <w:jc w:val="center"/>
        <w:rPr>
          <w:rFonts w:hint="eastAsia" w:ascii="宋体" w:hAnsi="宋体"/>
          <w:b/>
          <w:sz w:val="52"/>
          <w:szCs w:val="52"/>
        </w:rPr>
      </w:pPr>
    </w:p>
    <w:p w14:paraId="7F3EC400">
      <w:pPr>
        <w:jc w:val="center"/>
        <w:rPr>
          <w:rFonts w:hint="eastAsia" w:ascii="宋体" w:hAnsi="宋体"/>
          <w:b/>
          <w:sz w:val="52"/>
          <w:szCs w:val="52"/>
        </w:rPr>
      </w:pPr>
    </w:p>
    <w:p w14:paraId="7ECC4326">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37B893B4">
      <w:pPr>
        <w:widowControl w:val="0"/>
        <w:numPr>
          <w:ilvl w:val="0"/>
          <w:numId w:val="0"/>
        </w:numPr>
        <w:jc w:val="center"/>
        <w:rPr>
          <w:rFonts w:hint="default" w:ascii="宋体" w:hAnsi="宋体"/>
          <w:b/>
          <w:sz w:val="52"/>
          <w:szCs w:val="52"/>
          <w:lang w:eastAsia="zh-CN"/>
        </w:rPr>
      </w:pPr>
    </w:p>
    <w:p w14:paraId="0FF16D80">
      <w:pPr>
        <w:widowControl w:val="0"/>
        <w:numPr>
          <w:ilvl w:val="0"/>
          <w:numId w:val="0"/>
        </w:numPr>
        <w:jc w:val="center"/>
        <w:rPr>
          <w:rFonts w:hint="default" w:ascii="宋体" w:hAnsi="宋体"/>
          <w:b/>
          <w:sz w:val="52"/>
          <w:szCs w:val="52"/>
          <w:lang w:eastAsia="zh-CN"/>
        </w:rPr>
      </w:pPr>
    </w:p>
    <w:p w14:paraId="37322A84">
      <w:pPr>
        <w:widowControl w:val="0"/>
        <w:numPr>
          <w:ilvl w:val="0"/>
          <w:numId w:val="0"/>
        </w:numPr>
        <w:jc w:val="center"/>
        <w:rPr>
          <w:rFonts w:hint="default" w:ascii="宋体" w:hAnsi="宋体"/>
          <w:b/>
          <w:sz w:val="52"/>
          <w:szCs w:val="52"/>
          <w:lang w:eastAsia="zh-CN"/>
        </w:rPr>
      </w:pPr>
    </w:p>
    <w:p w14:paraId="52FDAD22">
      <w:pPr>
        <w:widowControl w:val="0"/>
        <w:numPr>
          <w:ilvl w:val="0"/>
          <w:numId w:val="0"/>
        </w:numPr>
        <w:jc w:val="center"/>
        <w:rPr>
          <w:rFonts w:hint="default" w:ascii="宋体" w:hAnsi="宋体"/>
          <w:b/>
          <w:sz w:val="52"/>
          <w:szCs w:val="52"/>
          <w:lang w:eastAsia="zh-CN"/>
        </w:rPr>
      </w:pPr>
    </w:p>
    <w:p w14:paraId="3AB7BB85">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F3F2">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F17A7">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1D28B">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9DEAC">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D6794">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9D6EE">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E9897"/>
    <w:multiLevelType w:val="singleLevel"/>
    <w:tmpl w:val="01EE9897"/>
    <w:lvl w:ilvl="0" w:tentative="0">
      <w:start w:val="1"/>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27384C"/>
    <w:rsid w:val="01622E76"/>
    <w:rsid w:val="071B13C4"/>
    <w:rsid w:val="082C6248"/>
    <w:rsid w:val="09C4782E"/>
    <w:rsid w:val="0ECB7368"/>
    <w:rsid w:val="0FD91C07"/>
    <w:rsid w:val="11612EA5"/>
    <w:rsid w:val="120F0D6A"/>
    <w:rsid w:val="12CC5588"/>
    <w:rsid w:val="131E2240"/>
    <w:rsid w:val="1369014E"/>
    <w:rsid w:val="175A614C"/>
    <w:rsid w:val="1A645C55"/>
    <w:rsid w:val="1B9703C5"/>
    <w:rsid w:val="1BCF5E91"/>
    <w:rsid w:val="1BD43760"/>
    <w:rsid w:val="1C635C29"/>
    <w:rsid w:val="1C6537BA"/>
    <w:rsid w:val="2511540D"/>
    <w:rsid w:val="286C4199"/>
    <w:rsid w:val="28977847"/>
    <w:rsid w:val="2A3D2189"/>
    <w:rsid w:val="2B885417"/>
    <w:rsid w:val="2E4F6256"/>
    <w:rsid w:val="35D62656"/>
    <w:rsid w:val="36230505"/>
    <w:rsid w:val="3BA207ED"/>
    <w:rsid w:val="408B5C95"/>
    <w:rsid w:val="43ED4466"/>
    <w:rsid w:val="46CA2860"/>
    <w:rsid w:val="474C6DD1"/>
    <w:rsid w:val="48264285"/>
    <w:rsid w:val="4A794F43"/>
    <w:rsid w:val="53BF24DA"/>
    <w:rsid w:val="54F6469B"/>
    <w:rsid w:val="57BC7062"/>
    <w:rsid w:val="59C52B8D"/>
    <w:rsid w:val="5AE973A2"/>
    <w:rsid w:val="5B697371"/>
    <w:rsid w:val="5CBA15A9"/>
    <w:rsid w:val="5CBC3691"/>
    <w:rsid w:val="61F55DA5"/>
    <w:rsid w:val="661243B7"/>
    <w:rsid w:val="67277FC8"/>
    <w:rsid w:val="673C6F2C"/>
    <w:rsid w:val="6BE95D99"/>
    <w:rsid w:val="6DA15E5C"/>
    <w:rsid w:val="6FE5071F"/>
    <w:rsid w:val="70445115"/>
    <w:rsid w:val="70C70595"/>
    <w:rsid w:val="724179B2"/>
    <w:rsid w:val="76186A5A"/>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5648</Words>
  <Characters>6074</Characters>
  <Lines>37</Lines>
  <Paragraphs>10</Paragraphs>
  <TotalTime>7</TotalTime>
  <ScaleCrop>false</ScaleCrop>
  <LinksUpToDate>false</LinksUpToDate>
  <CharactersWithSpaces>6193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2026-01-28T01:53:20Z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