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辽宁省沈阳市浑南区疾病预防控制中心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辽宁省沈阳市浑南区疾病预防控制中心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辽宁省沈阳市浑南区疾病预防控制中心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辽宁省沈阳市浑南区疾病预防控制中心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辽宁省沈阳市浑南区疾病预防控制中心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辽宁省沈阳市浑南区疾病预防控制中心概况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第一条 </w:t>
        <w:br/>
        <w:t xml:space="preserve">    沈阳市浑南区疾病预防控制中心，机构规格相当于副处级，为沈阳市浑南区卫生健康局所属事业单位。 </w:t>
        <w:br/>
        <w:t xml:space="preserve">    第二条 </w:t>
        <w:br/>
        <w:t xml:space="preserve">    区疾病预防控制中心的主要职责是： </w:t>
        <w:br/>
        <w:t xml:space="preserve">    （一）完成上级下达的疾病预防控制任务，负责辖区内疾病预防控制具体工作的管理和落实，包括结核病防治、艾滋病防治、 精神病防治、地方病防治、慢性病防治及其他传染性疾病防治等 工作。 </w:t>
        <w:br/>
        <w:t xml:space="preserve">    （二）负责辖区内基本公共卫生服务项目的实施与督导。 </w:t>
        <w:br/>
        <w:t xml:space="preserve">    （三）负责辖区内免疫规划工作，疫苗使用管理及预防接种副反应处置。 </w:t>
        <w:br/>
        <w:t xml:space="preserve">    （四）负责辖区内突发公共卫生事件的监测调查与信息收集、报告，落实具体控制措施。 </w:t>
        <w:br/>
        <w:t xml:space="preserve">    （五）开展辖区内生活饮用水水质检测、公共场所环境监测、托幼机构及医疗院所消毒监测。 </w:t>
        <w:br/>
        <w:t xml:space="preserve">    （六）承担卫生行政部门委托的与卫生监督执法相关的检验检测任务、配合食药监局等相关部门开展食物中毒检验。 </w:t>
        <w:br/>
        <w:t xml:space="preserve">    （七）指导辖区内医疗卫生机构开展卫生防病工作，负责考核和评价，对从事疾病预防控制相关工作的人员进行培训。</w:t>
        <w:br/>
        <w:t xml:space="preserve">    （八）负责疫情和公共卫生健康危害因素监测、报告，指导有关部门收集、报告疫情。 </w:t>
        <w:br/>
        <w:t xml:space="preserve">    （九）开展卫生宣传教育与健康促进活动，普及卫生防病知识。 </w:t>
        <w:br/>
        <w:t xml:space="preserve">    （十）承担区卫生健康局交办的其他事项。 </w:t>
        <w:br/>
        <w:t xml:space="preserve">    第三条 </w:t>
        <w:br/>
        <w:t xml:space="preserve">    区疾病预防控制中心设下列内设机构： </w:t>
        <w:br/>
        <w:t xml:space="preserve">    （一）综合管理部。负责本单位的综合服务管理职能，含党务、业务管理、档案管理、质量控制、行政后勤、人事劳资、固 定资产、财务管理。 </w:t>
        <w:br/>
        <w:t xml:space="preserve">    人员编制 17 名，部长 1 名。 </w:t>
        <w:br/>
        <w:t xml:space="preserve">    （二）业务管理部。参与突发公共卫生事件、急性传染病爆发等重大疫情、重大灾害紧急处置和控制；疫情分析管理；开展 各项传染病监测、分析、防控相关工作。负责实施艾滋病、性病的预防控制规划和措施、开展疫情分析、调查与疫情管理。参与艾滋病、性病重大爆发疫情的紧急处置和控制。实施地方病、寄生虫病、自然疫源性疾病的预防控制规划；开展预防控制和监测工作，负责碘缺乏病的监测。 </w:t>
        <w:br/>
        <w:t xml:space="preserve">    承担辖区内疫苗管理、冷链管理；负责疑似预防接种异常反应监测及处理；开展计划免疫相关疫情监测、报表、督导、信息化管理等工作；对辖区内预防接种相关人员进行上岗培训、辖区内托幼机构/小学的园(校)医进行验证培训，每年一次疾病专项培训等。</w:t>
        <w:br/>
        <w:t xml:space="preserve">    承担肿瘤、生命统计、老年病、健康档案管理工作。承担辖区内肿瘤及心脑血管疾病防治工作并建立防治网络；监测全区人口死因情况，获得年末年龄别人口数据及各部门出生数据；开展职业人群、儿童青少年及社区人群健康体重专项行动；指导辖区开展基本公共卫生服务项目高血压患者健康管理工作。 </w:t>
        <w:br/>
        <w:t xml:space="preserve">    负责制订全区健康教育工作计划并组织实施。针对不同时期、不同人群开展健康教育、健康咨询、普及卫生防病知识，帮助公众提高自我保健水平与防护技能，减少疾病流行和突发事件造成的身心危害。指导基层开展健康教育与促进活动，对教育活动进行效果评估。负责学校卫生情况年报表、学生常见病及健康危害因素监测，收集辖区内所有学校相关信息，建立学校卫生档案；开展儿童青少年近视防控。 </w:t>
        <w:br/>
        <w:t xml:space="preserve">    对辖区内重性精神病人管理、严重精神障碍管理与治疗项目工作的相关培训，并对其工作进行督导及绩效考核；开展定点医院的免费投药工作；指导全区康复站开展患者康复活动；负责康复站档案的建立、康复活动礼品的发放、特色手工艺品的制做与培训等。 </w:t>
        <w:br/>
        <w:t xml:space="preserve">    对辖区结核病防治工作进行全程指导；制定本地区免费抗结核药品的需求计划，提供免费的诊断治疗服务，规范患者用药、治疗、转诊管理工作；对中断治疗的患者进行随访；开展患者及 其家属健康教育工作。 </w:t>
        <w:br/>
        <w:t xml:space="preserve">    人员编制 50 名，部长 1 名。 </w:t>
        <w:br/>
        <w:t xml:space="preserve">    （三）监测检验中心。承担营养、食品、职业卫生、消毒消杀工作。负责辖区饮水卫生、公共场所卫生、病媒生物密度监测 工作；负责全区医疗机构消毒效果与医源性感染因素的监测与技术指导、培训工作；负责辖区内食品安全风险监测工作。负责职业病与健康相关因素信息管理、危害因素监测、监督抽检委托检测、对基层业务工作指导与培训。 </w:t>
        <w:br/>
        <w:t xml:space="preserve">    开展膳食指导，合理膳食宣传活动、个体膳食评估与合理膳食指导、组织辖区内相关工作人员开展数据与资料收集、整理和上报工作，汇总各项工作数据及资料，完成居民食物消费、食品安全相关知识调查；开展中国儿童与乳母营养健康监测。 </w:t>
        <w:br/>
        <w:t xml:space="preserve">    检测工作内设微生物检验室、理化检验室、艾滋病筛查实验室。包括常规检验微生物检测和理化检测；开展水质、食品、病源微生物检验；突发卫生应急事件采样与检测；盲样考核检测。 </w:t>
        <w:br/>
        <w:t xml:space="preserve">    人员编制 30 名，主任 1 名。 </w:t>
        <w:br/>
        <w:t xml:space="preserve">    第四条 </w:t>
        <w:br/>
        <w:t xml:space="preserve">    区疾病预防控制中心核定全额拨款事业编制 102 名。 </w:t>
        <w:br/>
        <w:t xml:space="preserve">    核定主任 1 名，副主任 4 名；核定内设机构领导职数 3 名。 </w:t>
        <w:br/>
        <w:t xml:space="preserve">    第五条 本通知由中共沈阳市浑南区委机构编制委员会办公室负责解释，其调整由中共沈阳市浑南区委机构编制委员会办公 室按规定程序办理。请按有关规定到区事业单位登记管理机关办理相关手续。 </w:t>
        <w:br/>
        <w:t xml:space="preserve">    第六条 </w:t>
        <w:br/>
        <w:t xml:space="preserve">    本规定自 2020 年 10 月 29 日起施行。2020 年 2 月23 日区委编委印发的《沈阳市浑南区疾病预防控制中心主要职责、内设机构和人员编制规定》同时废止。</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辽宁省沈阳市浑南区疾病预防控制中心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浑南区疾病预防控制中心本级，本单位无下设机构。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7678.40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2846.68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37.07</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2846.68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4829.02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62.89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主要是计划免疫二类疫苗等收入。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1.24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主要是上级拨入食品风险专项资金等收入。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1.46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主要是往年上级拨入资金余额等。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增加2585.40万元，增长50.76%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计划免疫二类疫苗收入增加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7676.67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2076.29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27.05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工资福利支出1949.00万元；商品和服务支出111.60万元；对个人和家庭的补助15.53万元；资本性支出0.17万元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5600.38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72.95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主要包括卫生健康等业务支出。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增加2683.85万元，增长53.75%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计划免疫二类疫苗支出增加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1.73</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主要是上级拨入资金剩余金额等原因形成的结余。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减少98.46万元，降低98.27%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往年上级资金退回</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2846.68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2076.29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770.39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减少247.47万元，降低8.00%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派遣人员工资项目支出减少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91.24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98.72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75.77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2024年度一般公共预算财政拨款支出2846.68万元。按支出功能分类科目分，包括：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1.一般公共服务支出12.37万元，具体包括：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12.37万元,主要是补发退休职工在职期间绩效工资等支出，完成年初预算的100%，决算数与年初预算数存在差异的主要原因是年初未安排此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2.社会保障和就业支出243.53万元，具体包括：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15.32万元,主要是离退休职工取暖费等支出，完成年初预算的88%，决算数与年初预算数存在差异的主要原因是预算中退休职工活动费未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197.73万元,主要是养老保险等支出，完成年初预算的111%，决算数与年初预算数存在差异的主要原因是下半年养老基数调增。</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30.48万元,主要是当年退休职工职业年金等支出，完成年初预算的100%，决算数与年初预算数存在差异的主要原因是年初未安排此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3.卫生健康支出2374.64万元，具体包括：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（1）卫生健康支出（类）公共卫生（款）疾病预防控制机构（项）1586.26万元,主要是人员经费等支出，完成年初预算的92%，决算数与年初预算数存在差异的主要原因是缩减开支。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（2）卫生健康支出（类）公共卫生（款）重大公共卫生服务（项）431.52万元,主要是重大公共卫生支出等支出，完成年初预算的150%，决算数与年初预算数存在差异的主要原因是往年上级资金退回财政。</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（3）卫生健康支出（类）公共卫生（款）其他公共卫生支出（项）264.54万元,主要是其他公共卫生等支出，完成年初预算的31%，决算数与年初预算数存在差异的主要原因是缩减开支。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（4）卫生健康支出（类）行政事业单位医疗（款）事业单位医疗（项）92.32万元,主要是医疗保险等支出，完成年初预算的118%，决算数与年初预算数存在差异的主要原因是下半年调增医疗保险基数。</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4.住房保障支出216.15万元，具体包括：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（1）住房保障支出（类）住房改革支出（款）住房公积金（项）216.15万元,主要是在职职工住房公积金等支出，完成年初预算的86%，决算数与年初预算数存在差异的主要原因是在职职工高比例部分未支出。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无“三公”经费</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无因公出国费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无因公出国费</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无公务接待费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无公务用车购置及运行费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2076.30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1964.53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111.77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我单位为事业单位，无此项支出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6</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6</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，其他用车主要是疫苗运送车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具体而言，本年度我部门共组织对24个项目实施了绩效评价。从预算资金来源看，涉及一般公共预算的项目24个，涉及政府性基金预算的项目0个，涉及国有资本经营预算的项目0个。</w:t>
        <w:br/>
        <w:t xml:space="preserve">    上述评价工作共涉及财政资金6654.98万元。其中，一般公共预算资金1825.96万元，占资金总额的27%；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1个；得分在60分以下、等级为“差”的项目有17个。各项目自评发现，部分项目存在预算执行进度偏慢、个别效益指标未能完全达成等问题，如：结核病预防控制工作经费，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在全面自评的基础上，本部门选取了2个资金量大、社会关注度高、具有代表性的重点项目实施了部门重点评价。评价工作通过数据采集分析方式进行，确保了评价结果的客观性和公正性。</w:t>
        <w:br/>
        <w:t xml:space="preserve">    我部门组织对2个项目重点评价，结果显示，被评价项目整体绩效情况良好。其中：第一个重点项目为历史遗留问题生活补助，涉及资金12.37万元，评价平均分为100分，评级情况为优；第二个重点项目为缴纳残疾人就业保障金，涉及资金15.91万元，评价平均分为99.88分，评级情况为优。同时，评价也发现缴纳残疾人就业保障金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16.卫生健康支出（类）公共卫生（款）疾病预防控制机构（项）：反映卫生健康、疾病预防控制部门所属疾病预防控制机构的支出。</w:t>
        <w:br/>
        <w:t xml:space="preserve">    17.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2,846.68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12.37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4,829.02</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1.24</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243.53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7,204.63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216.15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7,676.94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7,676.67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1.46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1.73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7,678.40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7,678.40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7,676.94</w:t>
            </w:r>
          </w:p>
        </w:tc>
        <w:tc>
          <w:tcPr>
            <w:tcW w:w="960" w:type="dxa"/>
            <w:tcBorders/>
            <w:vAlign w:val="center"/>
          </w:tcPr>
          <w:p>
            <w:pPr>
              <w:jc w:val="right"/>
            </w:pPr>
            <w:r>
              <w:rPr>
                <w:rFonts w:ascii="宋体" w:eastAsia="宋体" w:hAnsi="宋体" w:cs="宋体"/>
                <w:b/>
                <w:i w:val="0"/>
                <w:color w:val="000000"/>
                <w:sz w:val="13"/>
              </w:rPr>
              <w:t xml:space="preserve">2,846.68</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jc w:val="right"/>
            </w:pPr>
            <w:r>
              <w:rPr>
                <w:rFonts w:ascii="宋体" w:eastAsia="宋体" w:hAnsi="宋体" w:cs="宋体"/>
                <w:b w:val="0"/>
                <w:i w:val="0"/>
                <w:color w:val="000000"/>
                <w:sz w:val="13"/>
              </w:rPr>
              <w:t xml:space="preserve">12.37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243.53</w:t>
            </w:r>
          </w:p>
        </w:tc>
        <w:tc>
          <w:tcPr>
            <w:tcW w:w="960" w:type="dxa"/>
            <w:tcBorders/>
            <w:vAlign w:val="center"/>
          </w:tcPr>
          <w:p>
            <w:pPr>
              <w:jc w:val="right"/>
            </w:pPr>
            <w:r>
              <w:rPr>
                <w:rFonts w:ascii="宋体" w:eastAsia="宋体" w:hAnsi="宋体" w:cs="宋体"/>
                <w:b w:val="0"/>
                <w:i w:val="0"/>
                <w:color w:val="000000"/>
                <w:sz w:val="13"/>
              </w:rPr>
              <w:t xml:space="preserve">243.53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243.53</w:t>
            </w:r>
          </w:p>
        </w:tc>
        <w:tc>
          <w:tcPr>
            <w:tcW w:w="960" w:type="dxa"/>
            <w:tcBorders/>
            <w:vAlign w:val="center"/>
          </w:tcPr>
          <w:p>
            <w:pPr>
              <w:jc w:val="right"/>
            </w:pPr>
            <w:r>
              <w:rPr>
                <w:rFonts w:ascii="宋体" w:eastAsia="宋体" w:hAnsi="宋体" w:cs="宋体"/>
                <w:b w:val="0"/>
                <w:i w:val="0"/>
                <w:color w:val="000000"/>
                <w:sz w:val="13"/>
              </w:rPr>
              <w:t xml:space="preserve">243.53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15.32</w:t>
            </w:r>
          </w:p>
        </w:tc>
        <w:tc>
          <w:tcPr>
            <w:tcW w:w="960" w:type="dxa"/>
            <w:tcBorders/>
            <w:vAlign w:val="center"/>
          </w:tcPr>
          <w:p>
            <w:pPr>
              <w:jc w:val="right"/>
            </w:pPr>
            <w:r>
              <w:rPr>
                <w:rFonts w:ascii="宋体" w:eastAsia="宋体" w:hAnsi="宋体" w:cs="宋体"/>
                <w:b w:val="0"/>
                <w:i w:val="0"/>
                <w:color w:val="000000"/>
                <w:sz w:val="13"/>
              </w:rPr>
              <w:t xml:space="preserve">15.32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197.73</w:t>
            </w:r>
          </w:p>
        </w:tc>
        <w:tc>
          <w:tcPr>
            <w:tcW w:w="960" w:type="dxa"/>
            <w:tcBorders/>
            <w:vAlign w:val="center"/>
          </w:tcPr>
          <w:p>
            <w:pPr>
              <w:jc w:val="right"/>
            </w:pPr>
            <w:r>
              <w:rPr>
                <w:rFonts w:ascii="宋体" w:eastAsia="宋体" w:hAnsi="宋体" w:cs="宋体"/>
                <w:b w:val="0"/>
                <w:i w:val="0"/>
                <w:color w:val="000000"/>
                <w:sz w:val="13"/>
              </w:rPr>
              <w:t xml:space="preserve">197.73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30.48</w:t>
            </w:r>
          </w:p>
        </w:tc>
        <w:tc>
          <w:tcPr>
            <w:tcW w:w="960" w:type="dxa"/>
            <w:tcBorders/>
            <w:vAlign w:val="center"/>
          </w:tcPr>
          <w:p>
            <w:pPr>
              <w:jc w:val="right"/>
            </w:pPr>
            <w:r>
              <w:rPr>
                <w:rFonts w:ascii="宋体" w:eastAsia="宋体" w:hAnsi="宋体" w:cs="宋体"/>
                <w:b w:val="0"/>
                <w:i w:val="0"/>
                <w:color w:val="000000"/>
                <w:sz w:val="13"/>
              </w:rPr>
              <w:t xml:space="preserve">30.48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7,204.90</w:t>
            </w:r>
          </w:p>
        </w:tc>
        <w:tc>
          <w:tcPr>
            <w:tcW w:w="960" w:type="dxa"/>
            <w:tcBorders/>
            <w:vAlign w:val="center"/>
          </w:tcPr>
          <w:p>
            <w:pPr>
              <w:jc w:val="right"/>
            </w:pPr>
            <w:r>
              <w:rPr>
                <w:rFonts w:ascii="宋体" w:eastAsia="宋体" w:hAnsi="宋体" w:cs="宋体"/>
                <w:b w:val="0"/>
                <w:i w:val="0"/>
                <w:color w:val="000000"/>
                <w:sz w:val="13"/>
              </w:rPr>
              <w:t xml:space="preserve">2,374.64</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7,112.58</w:t>
            </w:r>
          </w:p>
        </w:tc>
        <w:tc>
          <w:tcPr>
            <w:tcW w:w="960" w:type="dxa"/>
            <w:tcBorders/>
            <w:vAlign w:val="center"/>
          </w:tcPr>
          <w:p>
            <w:pPr>
              <w:jc w:val="right"/>
            </w:pPr>
            <w:r>
              <w:rPr>
                <w:rFonts w:ascii="宋体" w:eastAsia="宋体" w:hAnsi="宋体" w:cs="宋体"/>
                <w:b w:val="0"/>
                <w:i w:val="0"/>
                <w:color w:val="000000"/>
                <w:sz w:val="13"/>
              </w:rPr>
              <w:t xml:space="preserve">2,282.32</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1.24</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2100401</w:t>
            </w:r>
          </w:p>
        </w:tc>
        <w:tc>
          <w:tcPr>
            <w:tcW w:w="3200" w:type="dxa"/>
            <w:tcBorders/>
            <w:vAlign w:val="center"/>
          </w:tcPr>
          <w:p>
            <w:pPr>
              <w:jc w:val="left"/>
            </w:pPr>
            <w:r>
              <w:rPr>
                <w:rFonts w:ascii="宋体" w:eastAsia="宋体" w:hAnsi="宋体" w:cs="宋体"/>
                <w:b w:val="0"/>
                <w:i w:val="0"/>
                <w:color w:val="000000"/>
                <w:sz w:val="13"/>
              </w:rPr>
              <w:t xml:space="preserve">疾病预防控制机构</w:t>
            </w:r>
          </w:p>
        </w:tc>
        <w:tc>
          <w:tcPr>
            <w:tcW w:w="960" w:type="dxa"/>
            <w:tcBorders/>
            <w:vAlign w:val="center"/>
          </w:tcPr>
          <w:p>
            <w:pPr>
              <w:jc w:val="right"/>
            </w:pPr>
            <w:r>
              <w:rPr>
                <w:rFonts w:ascii="宋体" w:eastAsia="宋体" w:hAnsi="宋体" w:cs="宋体"/>
                <w:b w:val="0"/>
                <w:i w:val="0"/>
                <w:color w:val="000000"/>
                <w:sz w:val="13"/>
              </w:rPr>
              <w:t xml:space="preserve">6,415.28</w:t>
            </w:r>
          </w:p>
        </w:tc>
        <w:tc>
          <w:tcPr>
            <w:tcW w:w="960" w:type="dxa"/>
            <w:tcBorders/>
            <w:vAlign w:val="center"/>
          </w:tcPr>
          <w:p>
            <w:pPr>
              <w:jc w:val="right"/>
            </w:pPr>
            <w:r>
              <w:rPr>
                <w:rFonts w:ascii="宋体" w:eastAsia="宋体" w:hAnsi="宋体" w:cs="宋体"/>
                <w:b w:val="0"/>
                <w:i w:val="0"/>
                <w:color w:val="000000"/>
                <w:sz w:val="13"/>
              </w:rPr>
              <w:t xml:space="preserve">1,586.26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4,829.02</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2100408</w:t>
            </w:r>
          </w:p>
        </w:tc>
        <w:tc>
          <w:tcPr>
            <w:tcW w:w="3200" w:type="dxa"/>
            <w:tcBorders/>
            <w:vAlign w:val="center"/>
          </w:tcPr>
          <w:p>
            <w:pPr>
              <w:jc w:val="left"/>
            </w:pPr>
            <w:r>
              <w:rPr>
                <w:rFonts w:ascii="宋体" w:eastAsia="宋体" w:hAnsi="宋体" w:cs="宋体"/>
                <w:b w:val="0"/>
                <w:i w:val="0"/>
                <w:color w:val="000000"/>
                <w:sz w:val="13"/>
              </w:rPr>
              <w:t xml:space="preserve">基本公共卫生服务</w:t>
            </w:r>
          </w:p>
        </w:tc>
        <w:tc>
          <w:tcPr>
            <w:tcW w:w="960" w:type="dxa"/>
            <w:tcBorders/>
            <w:vAlign w:val="center"/>
          </w:tcPr>
          <w:p>
            <w:pPr>
              <w:jc w:val="right"/>
            </w:pPr>
            <w:r>
              <w:rPr>
                <w:rFonts w:ascii="宋体" w:eastAsia="宋体" w:hAnsi="宋体" w:cs="宋体"/>
                <w:b w:val="0"/>
                <w:i w:val="0"/>
                <w:color w:val="000000"/>
                <w:sz w:val="13"/>
              </w:rPr>
              <w:t xml:space="preserve">0.59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0.59</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431.52</w:t>
            </w:r>
          </w:p>
        </w:tc>
        <w:tc>
          <w:tcPr>
            <w:tcW w:w="960" w:type="dxa"/>
            <w:tcBorders/>
            <w:vAlign w:val="center"/>
          </w:tcPr>
          <w:p>
            <w:pPr>
              <w:jc w:val="right"/>
            </w:pPr>
            <w:r>
              <w:rPr>
                <w:rFonts w:ascii="宋体" w:eastAsia="宋体" w:hAnsi="宋体" w:cs="宋体"/>
                <w:b w:val="0"/>
                <w:i w:val="0"/>
                <w:color w:val="000000"/>
                <w:sz w:val="13"/>
              </w:rPr>
              <w:t xml:space="preserve">431.52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2100499</w:t>
            </w:r>
          </w:p>
        </w:tc>
        <w:tc>
          <w:tcPr>
            <w:tcW w:w="3200" w:type="dxa"/>
            <w:tcBorders/>
            <w:vAlign w:val="center"/>
          </w:tcPr>
          <w:p>
            <w:pPr>
              <w:jc w:val="left"/>
            </w:pPr>
            <w:r>
              <w:rPr>
                <w:rFonts w:ascii="宋体" w:eastAsia="宋体" w:hAnsi="宋体" w:cs="宋体"/>
                <w:b w:val="0"/>
                <w:i w:val="0"/>
                <w:color w:val="000000"/>
                <w:sz w:val="13"/>
              </w:rPr>
              <w:t xml:space="preserve">其他公共卫生支出</w:t>
            </w:r>
          </w:p>
        </w:tc>
        <w:tc>
          <w:tcPr>
            <w:tcW w:w="960" w:type="dxa"/>
            <w:tcBorders/>
            <w:vAlign w:val="center"/>
          </w:tcPr>
          <w:p>
            <w:pPr>
              <w:jc w:val="right"/>
            </w:pPr>
            <w:r>
              <w:rPr>
                <w:rFonts w:ascii="宋体" w:eastAsia="宋体" w:hAnsi="宋体" w:cs="宋体"/>
                <w:b w:val="0"/>
                <w:i w:val="0"/>
                <w:color w:val="000000"/>
                <w:sz w:val="13"/>
              </w:rPr>
              <w:t xml:space="preserve">265.19</w:t>
            </w:r>
          </w:p>
        </w:tc>
        <w:tc>
          <w:tcPr>
            <w:tcW w:w="960" w:type="dxa"/>
            <w:tcBorders/>
            <w:vAlign w:val="center"/>
          </w:tcPr>
          <w:p>
            <w:pPr>
              <w:jc w:val="right"/>
            </w:pPr>
            <w:r>
              <w:rPr>
                <w:rFonts w:ascii="宋体" w:eastAsia="宋体" w:hAnsi="宋体" w:cs="宋体"/>
                <w:b w:val="0"/>
                <w:i w:val="0"/>
                <w:color w:val="000000"/>
                <w:sz w:val="13"/>
              </w:rPr>
              <w:t xml:space="preserve">264.54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0.65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92.32</w:t>
            </w:r>
          </w:p>
        </w:tc>
        <w:tc>
          <w:tcPr>
            <w:tcW w:w="960" w:type="dxa"/>
            <w:tcBorders/>
            <w:vAlign w:val="center"/>
          </w:tcPr>
          <w:p>
            <w:pPr>
              <w:jc w:val="right"/>
            </w:pPr>
            <w:r>
              <w:rPr>
                <w:rFonts w:ascii="宋体" w:eastAsia="宋体" w:hAnsi="宋体" w:cs="宋体"/>
                <w:b w:val="0"/>
                <w:i w:val="0"/>
                <w:color w:val="000000"/>
                <w:sz w:val="13"/>
              </w:rPr>
              <w:t xml:space="preserve">92.32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92.32</w:t>
            </w:r>
          </w:p>
        </w:tc>
        <w:tc>
          <w:tcPr>
            <w:tcW w:w="960" w:type="dxa"/>
            <w:tcBorders/>
            <w:vAlign w:val="center"/>
          </w:tcPr>
          <w:p>
            <w:pPr>
              <w:jc w:val="right"/>
            </w:pPr>
            <w:r>
              <w:rPr>
                <w:rFonts w:ascii="宋体" w:eastAsia="宋体" w:hAnsi="宋体" w:cs="宋体"/>
                <w:b w:val="0"/>
                <w:i w:val="0"/>
                <w:color w:val="000000"/>
                <w:sz w:val="13"/>
              </w:rPr>
              <w:t xml:space="preserve">92.32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jc w:val="right"/>
            </w:pPr>
            <w:r>
              <w:rPr>
                <w:rFonts w:ascii="宋体" w:eastAsia="宋体" w:hAnsi="宋体" w:cs="宋体"/>
                <w:b w:val="0"/>
                <w:i w:val="0"/>
                <w:color w:val="000000"/>
                <w:sz w:val="13"/>
              </w:rPr>
              <w:t xml:space="preserve">216.15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7,676.67</w:t>
            </w:r>
          </w:p>
        </w:tc>
        <w:tc>
          <w:tcPr>
            <w:tcW w:w="1060" w:type="dxa"/>
            <w:tcBorders/>
            <w:vAlign w:val="center"/>
          </w:tcPr>
          <w:p>
            <w:pPr>
              <w:jc w:val="right"/>
            </w:pPr>
            <w:r>
              <w:rPr>
                <w:rFonts w:ascii="宋体" w:eastAsia="宋体" w:hAnsi="宋体" w:cs="宋体"/>
                <w:b/>
                <w:i w:val="0"/>
                <w:color w:val="000000"/>
                <w:sz w:val="14"/>
              </w:rPr>
              <w:t xml:space="preserve">2,076.29</w:t>
            </w:r>
          </w:p>
        </w:tc>
        <w:tc>
          <w:tcPr>
            <w:tcW w:w="1060" w:type="dxa"/>
            <w:tcBorders/>
            <w:vAlign w:val="center"/>
          </w:tcPr>
          <w:p>
            <w:pPr>
              <w:jc w:val="right"/>
            </w:pPr>
            <w:r>
              <w:rPr>
                <w:rFonts w:ascii="宋体" w:eastAsia="宋体" w:hAnsi="宋体" w:cs="宋体"/>
                <w:b/>
                <w:i w:val="0"/>
                <w:color w:val="000000"/>
                <w:sz w:val="14"/>
              </w:rPr>
              <w:t xml:space="preserve">5,600.38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12.37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243.53</w:t>
            </w:r>
          </w:p>
        </w:tc>
        <w:tc>
          <w:tcPr>
            <w:tcW w:w="1060" w:type="dxa"/>
            <w:tcBorders/>
            <w:vAlign w:val="center"/>
          </w:tcPr>
          <w:p>
            <w:pPr>
              <w:jc w:val="right"/>
            </w:pPr>
            <w:r>
              <w:rPr>
                <w:rFonts w:ascii="宋体" w:eastAsia="宋体" w:hAnsi="宋体" w:cs="宋体"/>
                <w:b w:val="0"/>
                <w:i w:val="0"/>
                <w:color w:val="000000"/>
                <w:sz w:val="14"/>
              </w:rPr>
              <w:t xml:space="preserve">243.53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243.53</w:t>
            </w:r>
          </w:p>
        </w:tc>
        <w:tc>
          <w:tcPr>
            <w:tcW w:w="1060" w:type="dxa"/>
            <w:tcBorders/>
            <w:vAlign w:val="center"/>
          </w:tcPr>
          <w:p>
            <w:pPr>
              <w:jc w:val="right"/>
            </w:pPr>
            <w:r>
              <w:rPr>
                <w:rFonts w:ascii="宋体" w:eastAsia="宋体" w:hAnsi="宋体" w:cs="宋体"/>
                <w:b w:val="0"/>
                <w:i w:val="0"/>
                <w:color w:val="000000"/>
                <w:sz w:val="14"/>
              </w:rPr>
              <w:t xml:space="preserve">243.53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15.32</w:t>
            </w:r>
          </w:p>
        </w:tc>
        <w:tc>
          <w:tcPr>
            <w:tcW w:w="1060" w:type="dxa"/>
            <w:tcBorders/>
            <w:vAlign w:val="center"/>
          </w:tcPr>
          <w:p>
            <w:pPr>
              <w:jc w:val="right"/>
            </w:pPr>
            <w:r>
              <w:rPr>
                <w:rFonts w:ascii="宋体" w:eastAsia="宋体" w:hAnsi="宋体" w:cs="宋体"/>
                <w:b w:val="0"/>
                <w:i w:val="0"/>
                <w:color w:val="000000"/>
                <w:sz w:val="14"/>
              </w:rPr>
              <w:t xml:space="preserve">15.32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197.73</w:t>
            </w:r>
          </w:p>
        </w:tc>
        <w:tc>
          <w:tcPr>
            <w:tcW w:w="1060" w:type="dxa"/>
            <w:tcBorders/>
            <w:vAlign w:val="center"/>
          </w:tcPr>
          <w:p>
            <w:pPr>
              <w:jc w:val="right"/>
            </w:pPr>
            <w:r>
              <w:rPr>
                <w:rFonts w:ascii="宋体" w:eastAsia="宋体" w:hAnsi="宋体" w:cs="宋体"/>
                <w:b w:val="0"/>
                <w:i w:val="0"/>
                <w:color w:val="000000"/>
                <w:sz w:val="14"/>
              </w:rPr>
              <w:t xml:space="preserve">197.73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30.48</w:t>
            </w:r>
          </w:p>
        </w:tc>
        <w:tc>
          <w:tcPr>
            <w:tcW w:w="1060" w:type="dxa"/>
            <w:tcBorders/>
            <w:vAlign w:val="center"/>
          </w:tcPr>
          <w:p>
            <w:pPr>
              <w:jc w:val="right"/>
            </w:pPr>
            <w:r>
              <w:rPr>
                <w:rFonts w:ascii="宋体" w:eastAsia="宋体" w:hAnsi="宋体" w:cs="宋体"/>
                <w:b w:val="0"/>
                <w:i w:val="0"/>
                <w:color w:val="000000"/>
                <w:sz w:val="14"/>
              </w:rPr>
              <w:t xml:space="preserve">30.48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7,204.63</w:t>
            </w:r>
          </w:p>
        </w:tc>
        <w:tc>
          <w:tcPr>
            <w:tcW w:w="1060" w:type="dxa"/>
            <w:tcBorders/>
            <w:vAlign w:val="center"/>
          </w:tcPr>
          <w:p>
            <w:pPr>
              <w:jc w:val="right"/>
            </w:pPr>
            <w:r>
              <w:rPr>
                <w:rFonts w:ascii="宋体" w:eastAsia="宋体" w:hAnsi="宋体" w:cs="宋体"/>
                <w:b w:val="0"/>
                <w:i w:val="0"/>
                <w:color w:val="000000"/>
                <w:sz w:val="14"/>
              </w:rPr>
              <w:t xml:space="preserve">1,616.62</w:t>
            </w:r>
          </w:p>
        </w:tc>
        <w:tc>
          <w:tcPr>
            <w:tcW w:w="1060" w:type="dxa"/>
            <w:tcBorders/>
            <w:vAlign w:val="center"/>
          </w:tcPr>
          <w:p>
            <w:pPr>
              <w:jc w:val="right"/>
            </w:pPr>
            <w:r>
              <w:rPr>
                <w:rFonts w:ascii="宋体" w:eastAsia="宋体" w:hAnsi="宋体" w:cs="宋体"/>
                <w:b w:val="0"/>
                <w:i w:val="0"/>
                <w:color w:val="000000"/>
                <w:sz w:val="14"/>
              </w:rPr>
              <w:t xml:space="preserve">5,588.01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7,112.31</w:t>
            </w:r>
          </w:p>
        </w:tc>
        <w:tc>
          <w:tcPr>
            <w:tcW w:w="1060" w:type="dxa"/>
            <w:tcBorders/>
            <w:vAlign w:val="center"/>
          </w:tcPr>
          <w:p>
            <w:pPr>
              <w:jc w:val="right"/>
            </w:pPr>
            <w:r>
              <w:rPr>
                <w:rFonts w:ascii="宋体" w:eastAsia="宋体" w:hAnsi="宋体" w:cs="宋体"/>
                <w:b w:val="0"/>
                <w:i w:val="0"/>
                <w:color w:val="000000"/>
                <w:sz w:val="14"/>
              </w:rPr>
              <w:t xml:space="preserve">1,524.30</w:t>
            </w:r>
          </w:p>
        </w:tc>
        <w:tc>
          <w:tcPr>
            <w:tcW w:w="1060" w:type="dxa"/>
            <w:tcBorders/>
            <w:vAlign w:val="center"/>
          </w:tcPr>
          <w:p>
            <w:pPr>
              <w:jc w:val="right"/>
            </w:pPr>
            <w:r>
              <w:rPr>
                <w:rFonts w:ascii="宋体" w:eastAsia="宋体" w:hAnsi="宋体" w:cs="宋体"/>
                <w:b w:val="0"/>
                <w:i w:val="0"/>
                <w:color w:val="000000"/>
                <w:sz w:val="14"/>
              </w:rPr>
              <w:t xml:space="preserve">5,588.01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2100401</w:t>
            </w:r>
          </w:p>
        </w:tc>
        <w:tc>
          <w:tcPr>
            <w:tcW w:w="3440" w:type="dxa"/>
            <w:tcBorders/>
            <w:vAlign w:val="center"/>
          </w:tcPr>
          <w:p>
            <w:pPr>
              <w:jc w:val="left"/>
            </w:pPr>
            <w:r>
              <w:rPr>
                <w:rFonts w:ascii="宋体" w:eastAsia="宋体" w:hAnsi="宋体" w:cs="宋体"/>
                <w:b w:val="0"/>
                <w:i w:val="0"/>
                <w:color w:val="000000"/>
                <w:sz w:val="14"/>
              </w:rPr>
              <w:t xml:space="preserve">疾病预防控制机构</w:t>
            </w:r>
          </w:p>
        </w:tc>
        <w:tc>
          <w:tcPr>
            <w:tcW w:w="1060" w:type="dxa"/>
            <w:tcBorders/>
            <w:vAlign w:val="center"/>
          </w:tcPr>
          <w:p>
            <w:pPr>
              <w:jc w:val="right"/>
            </w:pPr>
            <w:r>
              <w:rPr>
                <w:rFonts w:ascii="宋体" w:eastAsia="宋体" w:hAnsi="宋体" w:cs="宋体"/>
                <w:b w:val="0"/>
                <w:i w:val="0"/>
                <w:color w:val="000000"/>
                <w:sz w:val="14"/>
              </w:rPr>
              <w:t xml:space="preserve">6,415.28</w:t>
            </w:r>
          </w:p>
        </w:tc>
        <w:tc>
          <w:tcPr>
            <w:tcW w:w="1060" w:type="dxa"/>
            <w:tcBorders/>
            <w:vAlign w:val="center"/>
          </w:tcPr>
          <w:p>
            <w:pPr>
              <w:jc w:val="right"/>
            </w:pPr>
            <w:r>
              <w:rPr>
                <w:rFonts w:ascii="宋体" w:eastAsia="宋体" w:hAnsi="宋体" w:cs="宋体"/>
                <w:b w:val="0"/>
                <w:i w:val="0"/>
                <w:color w:val="000000"/>
                <w:sz w:val="14"/>
              </w:rPr>
              <w:t xml:space="preserve">1,524.30</w:t>
            </w:r>
          </w:p>
        </w:tc>
        <w:tc>
          <w:tcPr>
            <w:tcW w:w="1060" w:type="dxa"/>
            <w:tcBorders/>
            <w:vAlign w:val="center"/>
          </w:tcPr>
          <w:p>
            <w:pPr>
              <w:jc w:val="right"/>
            </w:pPr>
            <w:r>
              <w:rPr>
                <w:rFonts w:ascii="宋体" w:eastAsia="宋体" w:hAnsi="宋体" w:cs="宋体"/>
                <w:b w:val="0"/>
                <w:i w:val="0"/>
                <w:color w:val="000000"/>
                <w:sz w:val="14"/>
              </w:rPr>
              <w:t xml:space="preserve">4,890.98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2100408</w:t>
            </w:r>
          </w:p>
        </w:tc>
        <w:tc>
          <w:tcPr>
            <w:tcW w:w="3440" w:type="dxa"/>
            <w:tcBorders/>
            <w:vAlign w:val="center"/>
          </w:tcPr>
          <w:p>
            <w:pPr>
              <w:jc w:val="left"/>
            </w:pPr>
            <w:r>
              <w:rPr>
                <w:rFonts w:ascii="宋体" w:eastAsia="宋体" w:hAnsi="宋体" w:cs="宋体"/>
                <w:b w:val="0"/>
                <w:i w:val="0"/>
                <w:color w:val="000000"/>
                <w:sz w:val="14"/>
              </w:rPr>
              <w:t xml:space="preserve">基本公共卫生服务</w:t>
            </w:r>
          </w:p>
        </w:tc>
        <w:tc>
          <w:tcPr>
            <w:tcW w:w="1060" w:type="dxa"/>
            <w:tcBorders/>
            <w:vAlign w:val="center"/>
          </w:tcPr>
          <w:p>
            <w:pPr>
              <w:jc w:val="right"/>
            </w:pPr>
            <w:r>
              <w:rPr>
                <w:rFonts w:ascii="宋体" w:eastAsia="宋体" w:hAnsi="宋体" w:cs="宋体"/>
                <w:b w:val="0"/>
                <w:i w:val="0"/>
                <w:color w:val="000000"/>
                <w:sz w:val="14"/>
              </w:rPr>
              <w:t xml:space="preserve">0.32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431.52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431.52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2100499</w:t>
            </w:r>
          </w:p>
        </w:tc>
        <w:tc>
          <w:tcPr>
            <w:tcW w:w="3440" w:type="dxa"/>
            <w:tcBorders/>
            <w:vAlign w:val="center"/>
          </w:tcPr>
          <w:p>
            <w:pPr>
              <w:jc w:val="left"/>
            </w:pPr>
            <w:r>
              <w:rPr>
                <w:rFonts w:ascii="宋体" w:eastAsia="宋体" w:hAnsi="宋体" w:cs="宋体"/>
                <w:b w:val="0"/>
                <w:i w:val="0"/>
                <w:color w:val="000000"/>
                <w:sz w:val="14"/>
              </w:rPr>
              <w:t xml:space="preserve">其他公共卫生支出</w:t>
            </w:r>
          </w:p>
        </w:tc>
        <w:tc>
          <w:tcPr>
            <w:tcW w:w="1060" w:type="dxa"/>
            <w:tcBorders/>
            <w:vAlign w:val="center"/>
          </w:tcPr>
          <w:p>
            <w:pPr>
              <w:jc w:val="right"/>
            </w:pPr>
            <w:r>
              <w:rPr>
                <w:rFonts w:ascii="宋体" w:eastAsia="宋体" w:hAnsi="宋体" w:cs="宋体"/>
                <w:b w:val="0"/>
                <w:i w:val="0"/>
                <w:color w:val="000000"/>
                <w:sz w:val="14"/>
              </w:rPr>
              <w:t xml:space="preserve">265.19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265.19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92.32</w:t>
            </w:r>
          </w:p>
        </w:tc>
        <w:tc>
          <w:tcPr>
            <w:tcW w:w="1060" w:type="dxa"/>
            <w:tcBorders/>
            <w:vAlign w:val="center"/>
          </w:tcPr>
          <w:p>
            <w:pPr>
              <w:jc w:val="right"/>
            </w:pPr>
            <w:r>
              <w:rPr>
                <w:rFonts w:ascii="宋体" w:eastAsia="宋体" w:hAnsi="宋体" w:cs="宋体"/>
                <w:b w:val="0"/>
                <w:i w:val="0"/>
                <w:color w:val="000000"/>
                <w:sz w:val="14"/>
              </w:rPr>
              <w:t xml:space="preserve">92.32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92.32</w:t>
            </w:r>
          </w:p>
        </w:tc>
        <w:tc>
          <w:tcPr>
            <w:tcW w:w="1060" w:type="dxa"/>
            <w:tcBorders/>
            <w:vAlign w:val="center"/>
          </w:tcPr>
          <w:p>
            <w:pPr>
              <w:jc w:val="right"/>
            </w:pPr>
            <w:r>
              <w:rPr>
                <w:rFonts w:ascii="宋体" w:eastAsia="宋体" w:hAnsi="宋体" w:cs="宋体"/>
                <w:b w:val="0"/>
                <w:i w:val="0"/>
                <w:color w:val="000000"/>
                <w:sz w:val="14"/>
              </w:rPr>
              <w:t xml:space="preserve">92.32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jc w:val="right"/>
            </w:pPr>
            <w:r>
              <w:rPr>
                <w:rFonts w:ascii="宋体" w:eastAsia="宋体" w:hAnsi="宋体" w:cs="宋体"/>
                <w:b w:val="0"/>
                <w:i w:val="0"/>
                <w:color w:val="000000"/>
                <w:sz w:val="14"/>
              </w:rPr>
              <w:t xml:space="preserve">216.15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12.37</w:t>
            </w:r>
          </w:p>
        </w:tc>
        <w:tc>
          <w:tcPr>
            <w:tcW w:w="1100" w:type="dxa"/>
            <w:tcBorders/>
            <w:vAlign w:val="center"/>
          </w:tcPr>
          <w:p>
            <w:pPr>
              <w:jc w:val="right"/>
            </w:pPr>
            <w:r>
              <w:rPr>
                <w:rFonts w:ascii="宋体" w:eastAsia="宋体" w:hAnsi="宋体" w:cs="宋体"/>
                <w:b w:val="0"/>
                <w:i w:val="0"/>
                <w:color w:val="000000"/>
                <w:sz w:val="14"/>
              </w:rPr>
              <w:t xml:space="preserve">12.37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243.53</w:t>
            </w:r>
          </w:p>
        </w:tc>
        <w:tc>
          <w:tcPr>
            <w:tcW w:w="1100" w:type="dxa"/>
            <w:tcBorders/>
            <w:vAlign w:val="center"/>
          </w:tcPr>
          <w:p>
            <w:pPr>
              <w:jc w:val="right"/>
            </w:pPr>
            <w:r>
              <w:rPr>
                <w:rFonts w:ascii="宋体" w:eastAsia="宋体" w:hAnsi="宋体" w:cs="宋体"/>
                <w:b w:val="0"/>
                <w:i w:val="0"/>
                <w:color w:val="000000"/>
                <w:sz w:val="14"/>
              </w:rPr>
              <w:t xml:space="preserve">243.53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2,374.64</w:t>
            </w:r>
          </w:p>
        </w:tc>
        <w:tc>
          <w:tcPr>
            <w:tcW w:w="1100" w:type="dxa"/>
            <w:tcBorders/>
            <w:vAlign w:val="center"/>
          </w:tcPr>
          <w:p>
            <w:pPr>
              <w:jc w:val="right"/>
            </w:pPr>
            <w:r>
              <w:rPr>
                <w:rFonts w:ascii="宋体" w:eastAsia="宋体" w:hAnsi="宋体" w:cs="宋体"/>
                <w:b w:val="0"/>
                <w:i w:val="0"/>
                <w:color w:val="000000"/>
                <w:sz w:val="14"/>
              </w:rPr>
              <w:t xml:space="preserve">2,374.64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216.15</w:t>
            </w:r>
          </w:p>
        </w:tc>
        <w:tc>
          <w:tcPr>
            <w:tcW w:w="1100" w:type="dxa"/>
            <w:tcBorders/>
            <w:vAlign w:val="center"/>
          </w:tcPr>
          <w:p>
            <w:pPr>
              <w:jc w:val="right"/>
            </w:pPr>
            <w:r>
              <w:rPr>
                <w:rFonts w:ascii="宋体" w:eastAsia="宋体" w:hAnsi="宋体" w:cs="宋体"/>
                <w:b w:val="0"/>
                <w:i w:val="0"/>
                <w:color w:val="000000"/>
                <w:sz w:val="14"/>
              </w:rPr>
              <w:t xml:space="preserve">216.15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1100" w:type="dxa"/>
            <w:tcBorders/>
            <w:vAlign w:val="center"/>
          </w:tcPr>
          <w:p>
            <w:pPr>
              <w:jc w:val="right"/>
            </w:pPr>
            <w:r>
              <w:rPr>
                <w:rFonts w:ascii="宋体" w:eastAsia="宋体" w:hAnsi="宋体" w:cs="宋体"/>
                <w:b w:val="0"/>
                <w:i w:val="0"/>
                <w:color w:val="000000"/>
                <w:sz w:val="14"/>
              </w:rPr>
              <w:t xml:space="preserve">2,846.68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2,846.68</w:t>
            </w:r>
          </w:p>
        </w:tc>
        <w:tc>
          <w:tcPr>
            <w:tcW w:w="1780" w:type="dxa"/>
            <w:tcBorders/>
            <w:vAlign w:val="center"/>
          </w:tcPr>
          <w:p>
            <w:pPr>
              <w:jc w:val="right"/>
            </w:pPr>
            <w:r>
              <w:rPr>
                <w:rFonts w:ascii="宋体" w:eastAsia="宋体" w:hAnsi="宋体" w:cs="宋体"/>
                <w:b/>
                <w:i w:val="0"/>
                <w:color w:val="000000"/>
                <w:sz w:val="18"/>
              </w:rPr>
              <w:t xml:space="preserve">2,076.29</w:t>
            </w:r>
          </w:p>
        </w:tc>
        <w:tc>
          <w:tcPr>
            <w:tcW w:w="1772" w:type="dxa"/>
            <w:tcBorders/>
            <w:vAlign w:val="center"/>
          </w:tcPr>
          <w:p>
            <w:pPr>
              <w:jc w:val="right"/>
            </w:pPr>
            <w:r>
              <w:rPr>
                <w:rFonts w:ascii="宋体" w:eastAsia="宋体" w:hAnsi="宋体" w:cs="宋体"/>
                <w:b/>
                <w:i w:val="0"/>
                <w:color w:val="000000"/>
                <w:sz w:val="18"/>
              </w:rPr>
              <w:t xml:space="preserve">770.39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12.37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12.37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243.53</w:t>
            </w:r>
          </w:p>
        </w:tc>
        <w:tc>
          <w:tcPr>
            <w:tcW w:w="1780" w:type="dxa"/>
            <w:tcBorders/>
            <w:vAlign w:val="center"/>
          </w:tcPr>
          <w:p>
            <w:pPr>
              <w:jc w:val="right"/>
            </w:pPr>
            <w:r>
              <w:rPr>
                <w:rFonts w:ascii="宋体" w:eastAsia="宋体" w:hAnsi="宋体" w:cs="宋体"/>
                <w:b w:val="0"/>
                <w:i w:val="0"/>
                <w:color w:val="000000"/>
                <w:sz w:val="18"/>
              </w:rPr>
              <w:t xml:space="preserve">243.53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243.53</w:t>
            </w:r>
          </w:p>
        </w:tc>
        <w:tc>
          <w:tcPr>
            <w:tcW w:w="1780" w:type="dxa"/>
            <w:tcBorders/>
            <w:vAlign w:val="center"/>
          </w:tcPr>
          <w:p>
            <w:pPr>
              <w:jc w:val="right"/>
            </w:pPr>
            <w:r>
              <w:rPr>
                <w:rFonts w:ascii="宋体" w:eastAsia="宋体" w:hAnsi="宋体" w:cs="宋体"/>
                <w:b w:val="0"/>
                <w:i w:val="0"/>
                <w:color w:val="000000"/>
                <w:sz w:val="18"/>
              </w:rPr>
              <w:t xml:space="preserve">243.53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15.32</w:t>
            </w:r>
          </w:p>
        </w:tc>
        <w:tc>
          <w:tcPr>
            <w:tcW w:w="1780" w:type="dxa"/>
            <w:tcBorders/>
            <w:vAlign w:val="center"/>
          </w:tcPr>
          <w:p>
            <w:pPr>
              <w:jc w:val="right"/>
            </w:pPr>
            <w:r>
              <w:rPr>
                <w:rFonts w:ascii="宋体" w:eastAsia="宋体" w:hAnsi="宋体" w:cs="宋体"/>
                <w:b w:val="0"/>
                <w:i w:val="0"/>
                <w:color w:val="000000"/>
                <w:sz w:val="18"/>
              </w:rPr>
              <w:t xml:space="preserve">15.32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197.73</w:t>
            </w:r>
          </w:p>
        </w:tc>
        <w:tc>
          <w:tcPr>
            <w:tcW w:w="1780" w:type="dxa"/>
            <w:tcBorders/>
            <w:vAlign w:val="center"/>
          </w:tcPr>
          <w:p>
            <w:pPr>
              <w:jc w:val="right"/>
            </w:pPr>
            <w:r>
              <w:rPr>
                <w:rFonts w:ascii="宋体" w:eastAsia="宋体" w:hAnsi="宋体" w:cs="宋体"/>
                <w:b w:val="0"/>
                <w:i w:val="0"/>
                <w:color w:val="000000"/>
                <w:sz w:val="18"/>
              </w:rPr>
              <w:t xml:space="preserve">197.73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30.48</w:t>
            </w:r>
          </w:p>
        </w:tc>
        <w:tc>
          <w:tcPr>
            <w:tcW w:w="1780" w:type="dxa"/>
            <w:tcBorders/>
            <w:vAlign w:val="center"/>
          </w:tcPr>
          <w:p>
            <w:pPr>
              <w:jc w:val="right"/>
            </w:pPr>
            <w:r>
              <w:rPr>
                <w:rFonts w:ascii="宋体" w:eastAsia="宋体" w:hAnsi="宋体" w:cs="宋体"/>
                <w:b w:val="0"/>
                <w:i w:val="0"/>
                <w:color w:val="000000"/>
                <w:sz w:val="18"/>
              </w:rPr>
              <w:t xml:space="preserve">30.48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2,374.64</w:t>
            </w:r>
          </w:p>
        </w:tc>
        <w:tc>
          <w:tcPr>
            <w:tcW w:w="1780" w:type="dxa"/>
            <w:tcBorders/>
            <w:vAlign w:val="center"/>
          </w:tcPr>
          <w:p>
            <w:pPr>
              <w:jc w:val="right"/>
            </w:pPr>
            <w:r>
              <w:rPr>
                <w:rFonts w:ascii="宋体" w:eastAsia="宋体" w:hAnsi="宋体" w:cs="宋体"/>
                <w:b w:val="0"/>
                <w:i w:val="0"/>
                <w:color w:val="000000"/>
                <w:sz w:val="18"/>
              </w:rPr>
              <w:t xml:space="preserve">1,616.62</w:t>
            </w:r>
          </w:p>
        </w:tc>
        <w:tc>
          <w:tcPr>
            <w:tcW w:w="1772" w:type="dxa"/>
            <w:tcBorders/>
            <w:vAlign w:val="center"/>
          </w:tcPr>
          <w:p>
            <w:pPr>
              <w:jc w:val="right"/>
            </w:pPr>
            <w:r>
              <w:rPr>
                <w:rFonts w:ascii="宋体" w:eastAsia="宋体" w:hAnsi="宋体" w:cs="宋体"/>
                <w:b w:val="0"/>
                <w:i w:val="0"/>
                <w:color w:val="000000"/>
                <w:sz w:val="18"/>
              </w:rPr>
              <w:t xml:space="preserve">758.02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2,282.32</w:t>
            </w:r>
          </w:p>
        </w:tc>
        <w:tc>
          <w:tcPr>
            <w:tcW w:w="1780" w:type="dxa"/>
            <w:tcBorders/>
            <w:vAlign w:val="center"/>
          </w:tcPr>
          <w:p>
            <w:pPr>
              <w:jc w:val="right"/>
            </w:pPr>
            <w:r>
              <w:rPr>
                <w:rFonts w:ascii="宋体" w:eastAsia="宋体" w:hAnsi="宋体" w:cs="宋体"/>
                <w:b w:val="0"/>
                <w:i w:val="0"/>
                <w:color w:val="000000"/>
                <w:sz w:val="18"/>
              </w:rPr>
              <w:t xml:space="preserve">1,524.30</w:t>
            </w:r>
          </w:p>
        </w:tc>
        <w:tc>
          <w:tcPr>
            <w:tcW w:w="1772" w:type="dxa"/>
            <w:tcBorders/>
            <w:vAlign w:val="center"/>
          </w:tcPr>
          <w:p>
            <w:pPr>
              <w:jc w:val="right"/>
            </w:pPr>
            <w:r>
              <w:rPr>
                <w:rFonts w:ascii="宋体" w:eastAsia="宋体" w:hAnsi="宋体" w:cs="宋体"/>
                <w:b w:val="0"/>
                <w:i w:val="0"/>
                <w:color w:val="000000"/>
                <w:sz w:val="18"/>
              </w:rPr>
              <w:t xml:space="preserve">758.02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2100401</w:t>
            </w:r>
          </w:p>
        </w:tc>
        <w:tc>
          <w:tcPr>
            <w:tcW w:w="4300" w:type="dxa"/>
            <w:tcBorders/>
            <w:vAlign w:val="center"/>
          </w:tcPr>
          <w:p>
            <w:pPr>
              <w:jc w:val="left"/>
            </w:pPr>
            <w:r>
              <w:rPr>
                <w:rFonts w:ascii="宋体" w:eastAsia="宋体" w:hAnsi="宋体" w:cs="宋体"/>
                <w:b w:val="0"/>
                <w:i w:val="0"/>
                <w:color w:val="000000"/>
                <w:sz w:val="18"/>
              </w:rPr>
              <w:t xml:space="preserve">疾病预防控制机构</w:t>
            </w:r>
          </w:p>
        </w:tc>
        <w:tc>
          <w:tcPr>
            <w:tcW w:w="1780" w:type="dxa"/>
            <w:tcBorders/>
            <w:vAlign w:val="center"/>
          </w:tcPr>
          <w:p>
            <w:pPr>
              <w:jc w:val="right"/>
            </w:pPr>
            <w:r>
              <w:rPr>
                <w:rFonts w:ascii="宋体" w:eastAsia="宋体" w:hAnsi="宋体" w:cs="宋体"/>
                <w:b w:val="0"/>
                <w:i w:val="0"/>
                <w:color w:val="000000"/>
                <w:sz w:val="18"/>
              </w:rPr>
              <w:t xml:space="preserve">1,586.26</w:t>
            </w:r>
          </w:p>
        </w:tc>
        <w:tc>
          <w:tcPr>
            <w:tcW w:w="1780" w:type="dxa"/>
            <w:tcBorders/>
            <w:vAlign w:val="center"/>
          </w:tcPr>
          <w:p>
            <w:pPr>
              <w:jc w:val="right"/>
            </w:pPr>
            <w:r>
              <w:rPr>
                <w:rFonts w:ascii="宋体" w:eastAsia="宋体" w:hAnsi="宋体" w:cs="宋体"/>
                <w:b w:val="0"/>
                <w:i w:val="0"/>
                <w:color w:val="000000"/>
                <w:sz w:val="18"/>
              </w:rPr>
              <w:t xml:space="preserve">1,524.30</w:t>
            </w:r>
          </w:p>
        </w:tc>
        <w:tc>
          <w:tcPr>
            <w:tcW w:w="1772" w:type="dxa"/>
            <w:tcBorders/>
            <w:vAlign w:val="center"/>
          </w:tcPr>
          <w:p>
            <w:pPr>
              <w:jc w:val="right"/>
            </w:pPr>
            <w:r>
              <w:rPr>
                <w:rFonts w:ascii="宋体" w:eastAsia="宋体" w:hAnsi="宋体" w:cs="宋体"/>
                <w:b w:val="0"/>
                <w:i w:val="0"/>
                <w:color w:val="000000"/>
                <w:sz w:val="18"/>
              </w:rPr>
              <w:t xml:space="preserve">61.96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431.52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431.52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2100499</w:t>
            </w:r>
          </w:p>
        </w:tc>
        <w:tc>
          <w:tcPr>
            <w:tcW w:w="4300" w:type="dxa"/>
            <w:tcBorders/>
            <w:vAlign w:val="center"/>
          </w:tcPr>
          <w:p>
            <w:pPr>
              <w:jc w:val="left"/>
            </w:pPr>
            <w:r>
              <w:rPr>
                <w:rFonts w:ascii="宋体" w:eastAsia="宋体" w:hAnsi="宋体" w:cs="宋体"/>
                <w:b w:val="0"/>
                <w:i w:val="0"/>
                <w:color w:val="000000"/>
                <w:sz w:val="18"/>
              </w:rPr>
              <w:t xml:space="preserve">其他公共卫生支出</w:t>
            </w:r>
          </w:p>
        </w:tc>
        <w:tc>
          <w:tcPr>
            <w:tcW w:w="1780" w:type="dxa"/>
            <w:tcBorders/>
            <w:vAlign w:val="center"/>
          </w:tcPr>
          <w:p>
            <w:pPr>
              <w:jc w:val="right"/>
            </w:pPr>
            <w:r>
              <w:rPr>
                <w:rFonts w:ascii="宋体" w:eastAsia="宋体" w:hAnsi="宋体" w:cs="宋体"/>
                <w:b w:val="0"/>
                <w:i w:val="0"/>
                <w:color w:val="000000"/>
                <w:sz w:val="18"/>
              </w:rPr>
              <w:t xml:space="preserve">264.54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264.54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92.32</w:t>
            </w:r>
          </w:p>
        </w:tc>
        <w:tc>
          <w:tcPr>
            <w:tcW w:w="1780" w:type="dxa"/>
            <w:tcBorders/>
            <w:vAlign w:val="center"/>
          </w:tcPr>
          <w:p>
            <w:pPr>
              <w:jc w:val="right"/>
            </w:pPr>
            <w:r>
              <w:rPr>
                <w:rFonts w:ascii="宋体" w:eastAsia="宋体" w:hAnsi="宋体" w:cs="宋体"/>
                <w:b w:val="0"/>
                <w:i w:val="0"/>
                <w:color w:val="000000"/>
                <w:sz w:val="18"/>
              </w:rPr>
              <w:t xml:space="preserve">92.32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92.32</w:t>
            </w:r>
          </w:p>
        </w:tc>
        <w:tc>
          <w:tcPr>
            <w:tcW w:w="1780" w:type="dxa"/>
            <w:tcBorders/>
            <w:vAlign w:val="center"/>
          </w:tcPr>
          <w:p>
            <w:pPr>
              <w:jc w:val="right"/>
            </w:pPr>
            <w:r>
              <w:rPr>
                <w:rFonts w:ascii="宋体" w:eastAsia="宋体" w:hAnsi="宋体" w:cs="宋体"/>
                <w:b w:val="0"/>
                <w:i w:val="0"/>
                <w:color w:val="000000"/>
                <w:sz w:val="18"/>
              </w:rPr>
              <w:t xml:space="preserve">92.32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80" w:type="dxa"/>
            <w:tcBorders/>
            <w:vAlign w:val="center"/>
          </w:tcPr>
          <w:p>
            <w:pPr>
              <w:jc w:val="right"/>
            </w:pPr>
            <w:r>
              <w:rPr>
                <w:rFonts w:ascii="宋体" w:eastAsia="宋体" w:hAnsi="宋体" w:cs="宋体"/>
                <w:b w:val="0"/>
                <w:i w:val="0"/>
                <w:color w:val="000000"/>
                <w:sz w:val="18"/>
              </w:rPr>
              <w:t xml:space="preserve">216.15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1,949.00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111.60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555.86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15.29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62.15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0.34</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38.93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0.17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52.24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694.51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0.17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197.73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1.16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30.48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67.02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92.32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8.65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216.15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0.68</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2.49</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15.53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0.13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15.32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3.32</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2.55</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jc w:val="right"/>
            </w:pPr>
            <w:r>
              <w:rPr>
                <w:rFonts w:ascii="宋体" w:eastAsia="宋体" w:hAnsi="宋体" w:cs="宋体"/>
                <w:b w:val="0"/>
                <w:i w:val="0"/>
                <w:color w:val="000000"/>
                <w:sz w:val="14"/>
              </w:rPr>
              <w:t xml:space="preserve">4.60</w:t>
            </w: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13.29</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1,964.53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111.77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单位：辽宁省沈阳市浑南区疾病预防控制中心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040002沈阳市浑南区疾病预防控制中心-210112000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2103.16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2103.16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427.73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1536.79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1536.79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贯彻中央财政工作金融工作的方针政策，履行职责过程中坚持和加强党对财政工作和金融工作的集中统一领导。根据预算合理完成2024年人员类项目及公用经费项目。</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我单位已按规定支付相应资金，完成2024年度基本支出工作。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基层医疗卫生机构满意度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建立辽宁省结核病防治体系</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PCR实验室运行经费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主要用于检测全区内的哨点医院监测（根据传染病科战线计划）、病毒变异监测、社区人群哨点监测、重点机构监测，浑南区辖区内的省、市纪委人群检测。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我单位核酸试剂及耗材通过重大传染病经费购买。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实验室内部控制完成率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实验室仪器设备验收合格率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实验室设备运行安全率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应急处置</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新冠肺炎疫情防控能力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防控到位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搬迁费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完成2023年疾控中心搬迁计划的区政府规划，疾控中心全员由沈河区迁回浑南区。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我单位实验室及库房等物品，2024年全部搬到新址，从办公经费支出。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事业单位日常受理量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参与单位数量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保障办公用房正常运行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部门办公正常运行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病媒生物预防控制工作经费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病媒工作用具5.1万元（资金计划）病媒生物密度监测点全年蚊密度监测12次、蝇监测6次、鼠密度6次、蟑螂6次；流动监测点75个，（数量指标）收集病媒侵害信息并及时处置,使环境得到有效治理。(满意度指标)对区域内危害严重的病媒生物种类和公共外环境，适时组织集中统一控制行动。为上级部门制定病媒生物防治，控制疫源性病媒传染病传播提供科学数据。（社会效益保障制度标可持续影响指标）上述工作需在第二季度完成（时效指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24年病媒检测工作已经完成，其中病媒生物密度监测点全年蚊虫监测18次、蝇监测7次、鼠监测8次、蜚蠊监测8次、蚊虫监测18次、蜱类监测4次、臭虫监测2次。收集病媒侵害信息并及时处置,使环境得到有效治理。</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监督检查执行度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二类疫苗经费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4829.02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4829.02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二类疫苗款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2024年已完成二类疫苗请款4829万元。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强制免疫疫苗采购完成率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疫苗冷链配送数量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疫苗冷链运输配送合格率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疫苗针对传染发病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疫苗接种异常反应参保持续性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防疫物资专项经费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590.83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407.93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鉴于本轮新冠肺炎疫情防控形势严峻且时间紧急，根据《财政部办公厅关于疫情防控采购便利化的通知》（财办库〔2020〕23号）、省财政厅《关于做好新型冠状病毒感染的肺炎疫情防控期间政府采购工作有关事项的通知》（辽财采〔2020〕25号）、省财政厅《关于做好防范新型冠状病毒感染的肺炎疫情工作的通知》和区疫情防控指挥部《关于新冠肺炎疫情防控指挥部工作会议纪要》（2020年第11号）等有关精神，以满足疫情防控工作需要作为首要目标，政府采购“绿色通道”继续开通有效，在确保采购时效的同时，平时做好物资、工程和服务等疫情防控的价格和质量对比工作，提高采购资金的使用效益，保证采购质量。紧急采购完成后，在“辽宁政府采购网”上公告，接受社会监督。为快速排查潜在传染源，防止疫情传播范围的扩大，做好物资保障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浑南疾控22年防疫物资总欠款1949.44109万元，我单位2024年度已还款防疫物资经费约407万元，还余欠款1253.87739</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万元，计划待资金到位后陆续偿还欠款。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医疗防疫物资品种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种</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采购物资（消耗品）完成时间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物资装备采购支出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1006.86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储备物资报废率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储备物资应急保障率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12.9043355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负压装置维护费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及时更换负压过滤网、增加负压机使用寿命、降低新冠病毒感染风险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相关车辆2024年度正常运行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运维车辆数量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量</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车辆运行维护及时率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雇员、派遣。公益岗人员经费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36.63%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保障派遣人员日常用餐及办公需求。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按时保障派遣人员用餐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人员保障:因我单位新入职新人，党组会决定5月陆续与派遣人员解聘，派遣人员与预算测算人数不符。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人员保障:后续我单位会陆续与派遣人员解聘，已无大批派遣人员，待人员全部解聘后，将无此项业务。</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办公经费节约率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49.41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29.258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其他:我单位派遣人员所使用的办公用品，均为单位在职人员办公经费购买，未另外申请派遣人员办公经费。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其他:规范财政资金管理，提高年初预算准确率，精准对每项工作进行预估，优化资源配置，减少资金浪费。</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保障到位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29.03774412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疾病预防控制经费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完成健康教育、计划免疫、卫生应急、食品卫生、慢性病教育、学校卫生及学生常见病健康监测、精神病护理教育、职业病监测等疾病预防控制相关工作。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2024年度健康教育、计划免疫、卫生应急、食品卫生、慢性病教育、学校卫生及学生常见病健康监测、精神病护理教育、职业病监测等相关工作均已完成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疑似预防接种异常反映监测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健康促进场所建设数量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能力建立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应急救护培训合格率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提升慢性病防治水平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提高学生体质健康水平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缴纳残疾人就业保障金（社保科）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残疾人就业保障金合计15.91万元。在职在编人数93*1710元（2023年预计社平工资114000*1.5%）=2024年应缴残疾人就业保障金金额15.903万元。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该项目已于2024年年底完成，残保金正常完成缴纳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贫困残疾人家庭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满足残疾人基本生活照料和护理需求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改善残疾人学习质量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提高残疾人家庭幸福指数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提高指数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结核病预防控制工作经费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购买结核菌素等2.1万元（资金计划），一方面用于浑南区结核病聚集疫情以及公共卫生事件的应急防控储备，另一方面主要用于学校结核病患者的密切接触者筛查。（数量指标）完成结核病人的发现工作， 每年约120例病原学阳性患者的密切接触者主动筛查；学校结核病患者的密切接触者筛查，预计500人左右。配合浑南区保健所做好新生入学体检结素试验的培训工作及提高学校对结核病防控工作的重视；为学校结核病疫情进行应急处置准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本年度结核病防治工作按时完成，2024年我单位已完成971人次结核病患者的密切接触者筛查。</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肺结核患者密切接触者筛查人次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理化实验室业务经费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省市要求，参加并完成国家、省、市碘盐、尿碘检测。质控结果按国家要求网络直报。进行盐、尿碘检测，可以及时评价碘营养状况，及时正确调整饮食中的碘摄入量，进而降低由于碘缺乏而引起的病症发生率，对提高全民族人口素质具有重要意义。2、理化应急检测可以在突发的重大灾害和食物中毒出现时，第一时间做出实验结果，准确可靠的检测数据对突发公共卫生事件的有效处置及受伤害人员的医疗救治都有着明确的指导作用。2、浑南区采集产妇、育龄妇女尿样各100份，检测尿碘含量。依据地方病预防控制工作规范（试行）和监测方案。浑南区疾病预防控制中心抽取5个乡（镇、街道），在每个抽样乡（镇、街道）完成50名孕妇尿样、盐样的采集和实验室检测，收集孕妇、新生儿TSH和甲状腺功能筛查数据。2、在突发公共卫生事件和食物中毒时，第一时间前往现场进行采集样本、快速检测，可以更好的开展后续的救治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我单位理化科室2024年已完成盐碘尿碘检测、实验室过期药品处置及实验室设备储存。相关经费由办公经费完成支付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碘缺乏病监测完成率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健康监测完成率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监测数据准确率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新生儿疾病筛查完成率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监测数据应用率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持续监测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历史遗留问题生活补助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许敏信访诉求：要求给予2017年5月至2018年10月未返岗期间的生活补助约10万元。区人社局、区疾控中心按照同期同级别人员补助标准核算，应给予其123666.40元。信访联席会议认为，许敏信访事项已于2023年3月24日区联席办第五次工作会议研究讨论，区联席办、区人社局均认为其信访事项情况清晰无异议，符合浑南区四级信访工作联席会议研究决策范畴。会议议定给予其生活补助123666.4元。现申请拨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该项补贴已全额支付给许敏，信访事项已经解决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实地督办信访事项数量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信访举报办结率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信访转诉案件结案率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临时工经费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工需经费36.48万元（资金计划），用于保障食堂职工用餐厨师、水岸及零活的工资需8.4万元，用于大楼办公环境保洁人员工资8.4万元，用于保安工资9万元，用于疫情司机工资9.6万元，保障临时工司机全年用餐1.08万元。上述资金按月支付（时效指标），保障办公正常运转（质量指标），该项资金长期需求（可持续指标），可保障职工正常工作，给服务对象清洁的环境（社会效益指标），提升百姓的满意度（满意度指标），安排专人检查及管理（保障制度），保证财政专项资金专款专用，发挥使用效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我单位因搬迁新址，2024年临时工只剩2名司机及2名保安，都已按时发放工资及伙食费。</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35.65463542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麻风病住院经费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浑南区高坎街道仁境村一患者，该患者目前就诊于大连市皮肤医院麻风病住院部，每年需要 20000元住院治疗费用。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目前患者在大连市麻风病医院正常住院中，其住院费已支付给大连市麻风病医院</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传染病医疗卫生机构数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传染病和突发公共卫生事件报告及时率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慢病干预工作经费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世界卫生组织指出，不健康的饮食、身体活动不足和吸烟是导致慢性病的重要行为危险因素。2002年中国居民营养与健康状况调查和2005年国民体质监测结果表明，与膳食不平衡和身体活动不足等生活方式密切相关的慢性疾病及其危险因素水平呈快速上升趋势，已成为威胁我国人民健康的突出问题。如不采取积极行动，我们面临的将不再是单纯的健康负担问题，而是能否实现构建和谐社会的长远战略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我单位已完成省级慢病示范区试点及慢心病防控相关工作。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慢性病与营养监测点位覆盖率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开展慢性病综合防控示范区数量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慢性病筛查完成率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慢性病监测点覆盖率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群众是否满意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提升慢性病防治水平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264.54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依据高新人力资源公司签定的劳务合同，根据派遣人员情况及薪资标准核算，浑南区疾病预防控制中心派遣制人员总计91人，2024年全年工资预计703.7万元。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我单位有新入职人员，经党组会决定5月与派遣人员解除劳动合同，派遣人数减少，派遣人员工资减少。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资金惠及人员数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人员保障:因我单位新入职新人，党组会决定5月陆续与派遣人员解聘，派遣人员与预算测算人数不符。</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人员保障:后续我单位会陆续与派遣人员解聘，已无大批派遣人员，待人员全部解聘后，将无此项业务。</w:t>
            </w:r>
          </w:p>
          <w:p>
            <w:pPr>
              <w:pBdr/>
              <w:shd w:val="clear" w:color="auto" w:fill="auto"/>
              <w:snapToGrid w:val="0"/>
              <w:spacing w:before="0" w:beforeAutospacing="0" w:after="0" w:afterAutospacing="0" w:line="240" w:lineRule="auto"/>
              <w:jc w:val="left"/>
              <w:rP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264.54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工资政策落实率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工资发放及时率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保障职工工资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项目管理机构、人力资源支撑情况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29.01228156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水质检测物资采购费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2023年饮用水卫生监测工作方案，通过开展丰水期和枯水期水质卫生监测》，系统了解浑南区辖区内饮用水卫生基本状况，将情况第一时间报告上级部门，为政府和相关部门加强饮用水安全管理工作提供依据和技术支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已完成辖区内生活引用水质量检测。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水质巡测检测频次达标率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定期水质检测频次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水质抽检完成率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水样水质检测可靠率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水质改善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第三方委托检测费全年总计约104.1万元：1.盐碘尿碘水碘样品检测费：包括盐碘样品305份，尿碘样品400份，水碘样品95份，复检样品100份，共900份样品，每份200元，合计18万元；2.食品风险监测费：预计采样40份，每份1200元，合计4.8万元；3.辖区内突发食源性疾病生物样本检测费：预计200份，每份1000元，合计20万元；4.传染病检测费：包括海产品样品100份，水样品40份，便样品60份，每份210元，合计4.2万元；5.医院和幼儿园消毒效果监测费：医疗机构消毒采样监测40家，样品份数160份；幼儿园消毒效果采样监测30家，样品份数300份。每份1000元，合计46万元。6.艾滋病初筛阳性检测费：样品份数20份，每份200元，共计0.4万元；7.饮水安全监测费：包括复合二氧化氯消毒水样8份，预计1.84万元；液氯消毒水样12份，预计2.52万元；不消毒水样8份，预计1.04万元；末梢水抽查40份，预计2.4万元；消毒和消毒副产物复检40份，预计2.8万元；不合格单项复检10份，预计0.1万元；合计10.7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2024年委托检测任务已全部完成。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医疗服务与保障能力提升补助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为了基层传染病监测预警与应急指挥能力提升，基层传染病实验室检测质量提升，建立基层传染病应急小分队，提升基层传染病应急水平，强化基层应急能力，提高基层卫生监督机构能力建设。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该项目我单位已全部完成，待资金拨付后完成支付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购买医疗设备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医疗设备采购数量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台套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采购医疗设备验收合格率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应急救援队队员培训演练合格率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应急保障能力完备性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物资充足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仪器设备检定费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仪器设备检定费总计8万元，用于：1.用于疾控中心理化实验室、微生物实验室仪器设备检定，约2万元；2.用于PCR实验室仪器设备检定，约5万元；3.监测科、职卫科、结核科等现场监测仪器检定，约1万元；实验室仪器设备均需要检测合格后方能投入使用，未经检测设备所出具检测结果无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我单位已完成2024年度实验室仪器设备检测。</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设备应用率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设备完好达标率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保障仪器设备正常运行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设备的完好率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移动式核酸检测车辆费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移动式核酸检测车辆费总计13.87万元。市疾控中心拨付给我单位一辆移动式核酸检测车辆，需缴纳车船税、购置税、交强险、商业险、燃油费、检车费用、机动车号牌证件费等。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2024年度我单位核酸检测车未进行上牌等业务，车辆购置税由上级单位交付。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参保车辆的数量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车辆正常运行数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提升检验检测服务能力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检测标准化方法使用范围扩大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范围扩大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应急业务工作经费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防护物资经费，按照修订后的国家、省、市、县卫生应急物资储备基本目录，配备中心突发公共卫生事件应急药品、防护物品、卫生设备、通讯网络设备等物资储备，储备齐全率100%；围绕鼠疫、霍乱、猴痘、新冠感染、食物中毒等重点传染病和重大公共卫生事件，并就发现的问题对应急预案进行针对性修订（社会效益保障制度满意度指标可持续影响指标），上述工作需在第三季度前完成（时效指标）；消毒消杀药品经费7万元（资金计划）按照修订后的国家、省、市、县卫生应急物资储备基本目录，配备中心突发公共卫生事件消杀药品等卫生设备物资储备，储备齐全率100%，还需对已过期的消毒消杀药品进行专业规范化的处置；围绕鼠疫、霍乱、猴痘、新冠感染、食物中毒等重点传染病和重大公共卫生事件，并就发现的问题对应急预案进行针对性修订（社会效益保障制度满意度指标可持续影响指标），上述工作需在第三季度前完成（时效指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因财政资金紧张，我单位应急物资储备均使用上级专项资金储备。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应急物资采购金额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开展疫情应急演练次数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应急演练评估合格率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卫生应急物资保障能力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应急保障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重大传染病防控经费（疾控项目）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按照《沈阳市疾病预防控制工作战线计划》规定，区疾控中心对辖区内可能发生的细菌性传染病，按流行病学调查表内容进行调查、疫点处理以及暴发疫情的现场处置，同时采集相关标本进行病原学检测。非流行期间进行常规监测。2.按照《沈阳市疾病预防控制工作战线计划》规定，区疾控中心对辖区内可能发生的病毒性腹泻，按流行病学调查表内容进行调查、疫点处理以及暴发疫情的现场处置，同时采集相关标本进行病原学检测。非流行期间进行常规监测。3.为进一步做好艾滋病防治工作，保持我市艾滋病处于低流行水平，完成项目工作任务量。1.艾滋病哨点监测完成率不低于 95%完成年检测任务量。2.监狱（包括未成年犯管教所）、看守所、强制隔离戒毒所、收容教育所、拘留所和强制医疗机构，需对被监管人员在其入所三个月内完成艾滋病病毒抗体初筛检测，完成任务要求的监测人数不低于 90%完成年检测任务量3.对检测对象开展艾滋病、梅毒、和丙肝检测，完成年度检测咨询任务量。4.活动覆盖辖区内每所高等院校，每学期至少开展 1 次艾滋病防治知识讲座和相关宣传教育等活动5.性病干预宣传、培训、性病病例报告准确率达到 95%，重报率控制在 5%，漏报率控制在 3%6.提供自愿咨询、开展暗娼男男干预完成检测任务量7.规范化随访干预（含 CD4 检测）比例达到 90%完成检测人数；艾滋病单阳家庭配偶检测率达到 90%完成检测人数；随访到的感染者和病人接受结核病结核筛查比例达到 90%；为需要治疗的病人提供治疗，达到治疗任务数的 95%.8.消除丙肝危害按照文件要求推进丙肝消除工作，各项工作达到考核要求。4.疫苗接种能有效防控计划免疫相关疾病及传染病爆发流行，不断提高免疫规划实施水平，加强接种安全是我国基本国策。国家对疫苗实行最严格的管理制度，坚持安全第一、风险管理、全程管控、科学监管、社会共治。居住在中国境内的居民，依法享有接种免疫规划疫苗的权利，履行接种免疫规划疫苗的义务。5.病原学阳性肺结核患者密切接触者检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根据上级下发的2022年重大传染病实施方案，我单位已完成相应工作。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传染病监测督导任务完成率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传染病和突发公共卫生事件报告及时率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重点传染病疫情及时报告和有效处置率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提升重点传染病防控水平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重点传染病疫情</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重大传染病防控经费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沈阳市浑南区卫生健康局-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沈阳市浑南区疾病预防控制中心-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完成重大传染病防控相关任务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2024年度我单位已完成重大传染病相关工作。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完成传染病监测任务的监测点比例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细菌性传染病监测任务完成率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细菌性传染病监测信息记录完整率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传染病疫情报告率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传染病疫情的实验室调查和应急处置能力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重点传染病有效控制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有效控制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31.20030651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