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辽宁省沈阳市浑南区卫生健康监督中心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辽宁省沈阳市浑南区卫生健康监督中心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辽宁省沈阳市浑南区卫生健康监督中心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辽宁省沈阳市浑南区卫生健康监督中心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辽宁省沈阳市浑南区卫生健康监督中心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辽宁省沈阳市浑南区卫生健康监督中心概况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2020年2月23日根据中共浑南区委机构编制委员会关于印发《沈阳市浑南区卫生监督所主要职责、内设机构和人员编制规定》的通知(沈浑南编发[2020]6号)要求,设立沈阳市浑南区卫生监督所，沈浑南编办发[2020]3号更名为沈阳市浑南区卫生健康监督中心（简称：区监督中心）,为区卫健局下属全额事业单位。主要职责是具体承担《传染病防治法》、《职业病防治法》、《执业医师法》、《公共场所卫生管理条例》、《放射性同位素与射线装置放射防护条例》、《学校卫生工作条例》、《医疗机构管理条例》、《生活饮用水卫生监督管理办法》等卫生法律、法规和规章规定的卫生监督职责。</w:t>
        <w:br/>
        <w:t xml:space="preserve">    浑南区卫生健康监督中心主要职责包括：具体实施传染病防治、环境卫生、饮水卫生、职业卫生、放射卫生、学校卫生、医疗执业活动、采供血活动和消毒产品、涉水卫生安全产品的卫生监督执法工作，对违法行为提出行政处罚意见；负责重大活动的卫生保障和公共突发事件的调查处理；负责开展卫生法制宣传教育；负责局内卫生监督员的管理、考核和培训；负责卫生监督信息、资料的汇总分析和报告；负责对辖区内管理相对人的工作进行指导、日常监督检查； 承担上级机关指定或交办的其他卫生监督事项。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辽宁省沈阳市浑南区卫生健康监督中心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沈阳市浑南区卫生健康监督中心本级，本单位无下设机构。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503.99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503.99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503.99</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减少109.66万元，降低17.87%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人员经费减少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503.99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499.42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99.09</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工资福利支出446.19万元；商品和服务支出23.98万元；对个人和家庭的补助29.26万元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4.57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0.91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主要包括残疾人就业保障金等业务支出。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减少109.66万元，降低17.87%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人员经费减少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未发生结转和结余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503.99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499.42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4.57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减少109.66万元，降低17.87%</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人员经费减少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79.76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84.12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11.97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2024年度一般公共预算财政拨款支出503.99万元。按支出功能分类科目分，包括：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1.社会保障和就业支出81.57万元，具体包括：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23.86万元,主要是离休人员工资及离退休人员采暖补贴等支出，完成年初预算的92.16%，决算数与年初预算数存在差异的主要原因是预算中的离退休人员活动费未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45.14万元,主要是在职人员养老保险等支出，完成年初预算的91.67%，决算数与年初预算数存在差异的主要原因是在职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9.68万元,主要是当年退休职工职业年金等支出，完成年初预算的0.00%，决算数与年初预算数存在差异的主要原因是年初未安排此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（4）社会保障和就业支出（类）抚恤（款）伤残抚恤（项）2.89万元,主要是伤残人员抚恤金等支出，完成年初预算的100%，决算数与年初预算数存在差异的主要原因是决算数与年初预算数相同。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2.卫生健康支出372.48万元，具体包括：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（1）卫生健康支出（类）公共卫生（款）卫生监督机构（项）354.46万元,主要是人员经费等支出，完成年初预算的75.30%，决算数与年初预算数存在差异的主要原因是委托检测费未支出。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（2）卫生健康支出（类）行政事业单位医疗（款）事业单位医疗（项）18.02万元,主要是在职人员医疗保险等支出，完成年初预算的79.80%，决算数与年初预算数存在差异的主要原因是在职人员减少。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3.住房保障支出49.95万元，具体包括：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（1）住房保障支出（类）住房改革支出（款）住房公积金（项）49.95万元,主要是在职人员住房公积金等支出，完成年初预算的82.56%，决算数与年初预算数存在差异的主要原因是预算中的高比例公积金未支出。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无因公出国（境）费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无因公出国（境）费</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无公务接待费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无公务接待费</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无公务用车购置及运行费</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无公务用车购置及运行费</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499.43</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475.45</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23.98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浑南区卫生健康监督中心属于事业单位，无机关运行经费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4</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4</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，其他用车主要是公务用车（已上交国有资产中心）</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具体而言，本年度我部门共组织对3个项目实施了绩效评价。从预算资金来源看，涉及一般公共预算的项目3个，涉及政府性基金预算的项目0个，涉及国有资本经营预算的项目0个。</w:t>
        <w:br/>
        <w:t xml:space="preserve">    上述评价工作共涉及财政资金38.15万元。其中，一般公共预算资金38.15万元，占资金总额的100%；政府性基金预算资金0万元，占0.00%；国有资本经营预算资金0万元，占0.00%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0个；得分在60分以下、等级为“差”的项目有2个。各项目自评发现，部分项目存在预算执行进度偏慢、个别效益指标未能完全达成。</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组织对1个项目重点评价，结果显示，被评价项目整体绩效情况良好。其中：第一个重点项目为缴纳残疾人就业保障金，涉及资金4.45万元，评价平均分为100分，评级情况为优；同时，评价也发现缴纳残疾人就业保障金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16.卫生监督：国家授权卫生部门对辖区内的企业、事业单位贯彻执行国家的卫生法令、条例和标准的情况进行监督和管理，对违反卫生法规并造成危害人体健康的情况，进行严肃处理。</w:t>
        <w:br/>
        <w:t xml:space="preserve">    17.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单位：辽宁省沈阳市浑南区卫生健康监督中心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503.99</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81.57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372.47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49.95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503.99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503.99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503.99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503.99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单位：辽宁省沈阳市浑南区卫生健康监督中心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503.99</w:t>
            </w:r>
          </w:p>
        </w:tc>
        <w:tc>
          <w:tcPr>
            <w:tcW w:w="960" w:type="dxa"/>
            <w:tcBorders/>
            <w:vAlign w:val="center"/>
          </w:tcPr>
          <w:p>
            <w:pPr>
              <w:jc w:val="right"/>
            </w:pPr>
            <w:r>
              <w:rPr>
                <w:rFonts w:ascii="宋体" w:eastAsia="宋体" w:hAnsi="宋体" w:cs="宋体"/>
                <w:b/>
                <w:i w:val="0"/>
                <w:color w:val="000000"/>
                <w:sz w:val="13"/>
              </w:rPr>
              <w:t xml:space="preserve">503.99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81.57</w:t>
            </w:r>
          </w:p>
        </w:tc>
        <w:tc>
          <w:tcPr>
            <w:tcW w:w="960" w:type="dxa"/>
            <w:tcBorders/>
            <w:vAlign w:val="center"/>
          </w:tcPr>
          <w:p>
            <w:pPr>
              <w:jc w:val="right"/>
            </w:pPr>
            <w:r>
              <w:rPr>
                <w:rFonts w:ascii="宋体" w:eastAsia="宋体" w:hAnsi="宋体" w:cs="宋体"/>
                <w:b w:val="0"/>
                <w:i w:val="0"/>
                <w:color w:val="000000"/>
                <w:sz w:val="13"/>
              </w:rPr>
              <w:t xml:space="preserve">81.57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78.68</w:t>
            </w:r>
          </w:p>
        </w:tc>
        <w:tc>
          <w:tcPr>
            <w:tcW w:w="960" w:type="dxa"/>
            <w:tcBorders/>
            <w:vAlign w:val="center"/>
          </w:tcPr>
          <w:p>
            <w:pPr>
              <w:jc w:val="right"/>
            </w:pPr>
            <w:r>
              <w:rPr>
                <w:rFonts w:ascii="宋体" w:eastAsia="宋体" w:hAnsi="宋体" w:cs="宋体"/>
                <w:b w:val="0"/>
                <w:i w:val="0"/>
                <w:color w:val="000000"/>
                <w:sz w:val="13"/>
              </w:rPr>
              <w:t xml:space="preserve">78.68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23.86</w:t>
            </w:r>
          </w:p>
        </w:tc>
        <w:tc>
          <w:tcPr>
            <w:tcW w:w="960" w:type="dxa"/>
            <w:tcBorders/>
            <w:vAlign w:val="center"/>
          </w:tcPr>
          <w:p>
            <w:pPr>
              <w:jc w:val="right"/>
            </w:pPr>
            <w:r>
              <w:rPr>
                <w:rFonts w:ascii="宋体" w:eastAsia="宋体" w:hAnsi="宋体" w:cs="宋体"/>
                <w:b w:val="0"/>
                <w:i w:val="0"/>
                <w:color w:val="000000"/>
                <w:sz w:val="13"/>
              </w:rPr>
              <w:t xml:space="preserve">23.86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45.14</w:t>
            </w:r>
          </w:p>
        </w:tc>
        <w:tc>
          <w:tcPr>
            <w:tcW w:w="960" w:type="dxa"/>
            <w:tcBorders/>
            <w:vAlign w:val="center"/>
          </w:tcPr>
          <w:p>
            <w:pPr>
              <w:jc w:val="right"/>
            </w:pPr>
            <w:r>
              <w:rPr>
                <w:rFonts w:ascii="宋体" w:eastAsia="宋体" w:hAnsi="宋体" w:cs="宋体"/>
                <w:b w:val="0"/>
                <w:i w:val="0"/>
                <w:color w:val="000000"/>
                <w:sz w:val="13"/>
              </w:rPr>
              <w:t xml:space="preserve">45.14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9.68</w:t>
            </w:r>
          </w:p>
        </w:tc>
        <w:tc>
          <w:tcPr>
            <w:tcW w:w="960" w:type="dxa"/>
            <w:tcBorders/>
            <w:vAlign w:val="center"/>
          </w:tcPr>
          <w:p>
            <w:pPr>
              <w:jc w:val="right"/>
            </w:pPr>
            <w:r>
              <w:rPr>
                <w:rFonts w:ascii="宋体" w:eastAsia="宋体" w:hAnsi="宋体" w:cs="宋体"/>
                <w:b w:val="0"/>
                <w:i w:val="0"/>
                <w:color w:val="000000"/>
                <w:sz w:val="13"/>
              </w:rPr>
              <w:t xml:space="preserve">9.68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2.89</w:t>
            </w:r>
          </w:p>
        </w:tc>
        <w:tc>
          <w:tcPr>
            <w:tcW w:w="960" w:type="dxa"/>
            <w:tcBorders/>
            <w:vAlign w:val="center"/>
          </w:tcPr>
          <w:p>
            <w:pPr>
              <w:jc w:val="right"/>
            </w:pPr>
            <w:r>
              <w:rPr>
                <w:rFonts w:ascii="宋体" w:eastAsia="宋体" w:hAnsi="宋体" w:cs="宋体"/>
                <w:b w:val="0"/>
                <w:i w:val="0"/>
                <w:color w:val="000000"/>
                <w:sz w:val="13"/>
              </w:rPr>
              <w:t xml:space="preserve">2.89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2.89</w:t>
            </w:r>
          </w:p>
        </w:tc>
        <w:tc>
          <w:tcPr>
            <w:tcW w:w="960" w:type="dxa"/>
            <w:tcBorders/>
            <w:vAlign w:val="center"/>
          </w:tcPr>
          <w:p>
            <w:pPr>
              <w:jc w:val="right"/>
            </w:pPr>
            <w:r>
              <w:rPr>
                <w:rFonts w:ascii="宋体" w:eastAsia="宋体" w:hAnsi="宋体" w:cs="宋体"/>
                <w:b w:val="0"/>
                <w:i w:val="0"/>
                <w:color w:val="000000"/>
                <w:sz w:val="13"/>
              </w:rPr>
              <w:t xml:space="preserve">2.89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372.48</w:t>
            </w:r>
          </w:p>
        </w:tc>
        <w:tc>
          <w:tcPr>
            <w:tcW w:w="960" w:type="dxa"/>
            <w:tcBorders/>
            <w:vAlign w:val="center"/>
          </w:tcPr>
          <w:p>
            <w:pPr>
              <w:jc w:val="right"/>
            </w:pPr>
            <w:r>
              <w:rPr>
                <w:rFonts w:ascii="宋体" w:eastAsia="宋体" w:hAnsi="宋体" w:cs="宋体"/>
                <w:b w:val="0"/>
                <w:i w:val="0"/>
                <w:color w:val="000000"/>
                <w:sz w:val="13"/>
              </w:rPr>
              <w:t xml:space="preserve">372.48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w:t>
            </w:r>
          </w:p>
        </w:tc>
        <w:tc>
          <w:tcPr>
            <w:tcW w:w="3200" w:type="dxa"/>
            <w:tcBorders/>
            <w:vAlign w:val="center"/>
          </w:tcPr>
          <w:p>
            <w:pPr>
              <w:jc w:val="left"/>
            </w:pPr>
            <w:r>
              <w:rPr>
                <w:rFonts w:ascii="宋体" w:eastAsia="宋体" w:hAnsi="宋体" w:cs="宋体"/>
                <w:b w:val="0"/>
                <w:i w:val="0"/>
                <w:color w:val="000000"/>
                <w:sz w:val="13"/>
              </w:rPr>
              <w:t xml:space="preserve">公共卫生</w:t>
            </w:r>
          </w:p>
        </w:tc>
        <w:tc>
          <w:tcPr>
            <w:tcW w:w="960" w:type="dxa"/>
            <w:tcBorders/>
            <w:vAlign w:val="center"/>
          </w:tcPr>
          <w:p>
            <w:pPr>
              <w:jc w:val="right"/>
            </w:pPr>
            <w:r>
              <w:rPr>
                <w:rFonts w:ascii="宋体" w:eastAsia="宋体" w:hAnsi="宋体" w:cs="宋体"/>
                <w:b w:val="0"/>
                <w:i w:val="0"/>
                <w:color w:val="000000"/>
                <w:sz w:val="13"/>
              </w:rPr>
              <w:t xml:space="preserve">354.46</w:t>
            </w:r>
          </w:p>
        </w:tc>
        <w:tc>
          <w:tcPr>
            <w:tcW w:w="960" w:type="dxa"/>
            <w:tcBorders/>
            <w:vAlign w:val="center"/>
          </w:tcPr>
          <w:p>
            <w:pPr>
              <w:jc w:val="right"/>
            </w:pPr>
            <w:r>
              <w:rPr>
                <w:rFonts w:ascii="宋体" w:eastAsia="宋体" w:hAnsi="宋体" w:cs="宋体"/>
                <w:b w:val="0"/>
                <w:i w:val="0"/>
                <w:color w:val="000000"/>
                <w:sz w:val="13"/>
              </w:rPr>
              <w:t xml:space="preserve">354.46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2100402</w:t>
            </w:r>
          </w:p>
        </w:tc>
        <w:tc>
          <w:tcPr>
            <w:tcW w:w="3200" w:type="dxa"/>
            <w:tcBorders/>
            <w:vAlign w:val="center"/>
          </w:tcPr>
          <w:p>
            <w:pPr>
              <w:jc w:val="left"/>
            </w:pPr>
            <w:r>
              <w:rPr>
                <w:rFonts w:ascii="宋体" w:eastAsia="宋体" w:hAnsi="宋体" w:cs="宋体"/>
                <w:b w:val="0"/>
                <w:i w:val="0"/>
                <w:color w:val="000000"/>
                <w:sz w:val="13"/>
              </w:rPr>
              <w:t xml:space="preserve">卫生监督机构</w:t>
            </w:r>
          </w:p>
        </w:tc>
        <w:tc>
          <w:tcPr>
            <w:tcW w:w="960" w:type="dxa"/>
            <w:tcBorders/>
            <w:vAlign w:val="center"/>
          </w:tcPr>
          <w:p>
            <w:pPr>
              <w:jc w:val="right"/>
            </w:pPr>
            <w:r>
              <w:rPr>
                <w:rFonts w:ascii="宋体" w:eastAsia="宋体" w:hAnsi="宋体" w:cs="宋体"/>
                <w:b w:val="0"/>
                <w:i w:val="0"/>
                <w:color w:val="000000"/>
                <w:sz w:val="13"/>
              </w:rPr>
              <w:t xml:space="preserve">354.46</w:t>
            </w:r>
          </w:p>
        </w:tc>
        <w:tc>
          <w:tcPr>
            <w:tcW w:w="960" w:type="dxa"/>
            <w:tcBorders/>
            <w:vAlign w:val="center"/>
          </w:tcPr>
          <w:p>
            <w:pPr>
              <w:jc w:val="right"/>
            </w:pPr>
            <w:r>
              <w:rPr>
                <w:rFonts w:ascii="宋体" w:eastAsia="宋体" w:hAnsi="宋体" w:cs="宋体"/>
                <w:b w:val="0"/>
                <w:i w:val="0"/>
                <w:color w:val="000000"/>
                <w:sz w:val="13"/>
              </w:rPr>
              <w:t xml:space="preserve">354.46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18.02</w:t>
            </w:r>
          </w:p>
        </w:tc>
        <w:tc>
          <w:tcPr>
            <w:tcW w:w="960" w:type="dxa"/>
            <w:tcBorders/>
            <w:vAlign w:val="center"/>
          </w:tcPr>
          <w:p>
            <w:pPr>
              <w:jc w:val="right"/>
            </w:pPr>
            <w:r>
              <w:rPr>
                <w:rFonts w:ascii="宋体" w:eastAsia="宋体" w:hAnsi="宋体" w:cs="宋体"/>
                <w:b w:val="0"/>
                <w:i w:val="0"/>
                <w:color w:val="000000"/>
                <w:sz w:val="13"/>
              </w:rPr>
              <w:t xml:space="preserve">18.02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18.02</w:t>
            </w:r>
          </w:p>
        </w:tc>
        <w:tc>
          <w:tcPr>
            <w:tcW w:w="960" w:type="dxa"/>
            <w:tcBorders/>
            <w:vAlign w:val="center"/>
          </w:tcPr>
          <w:p>
            <w:pPr>
              <w:jc w:val="right"/>
            </w:pPr>
            <w:r>
              <w:rPr>
                <w:rFonts w:ascii="宋体" w:eastAsia="宋体" w:hAnsi="宋体" w:cs="宋体"/>
                <w:b w:val="0"/>
                <w:i w:val="0"/>
                <w:color w:val="000000"/>
                <w:sz w:val="13"/>
              </w:rPr>
              <w:t xml:space="preserve">18.02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49.95</w:t>
            </w:r>
          </w:p>
        </w:tc>
        <w:tc>
          <w:tcPr>
            <w:tcW w:w="960" w:type="dxa"/>
            <w:tcBorders/>
            <w:vAlign w:val="center"/>
          </w:tcPr>
          <w:p>
            <w:pPr>
              <w:jc w:val="right"/>
            </w:pPr>
            <w:r>
              <w:rPr>
                <w:rFonts w:ascii="宋体" w:eastAsia="宋体" w:hAnsi="宋体" w:cs="宋体"/>
                <w:b w:val="0"/>
                <w:i w:val="0"/>
                <w:color w:val="000000"/>
                <w:sz w:val="13"/>
              </w:rPr>
              <w:t xml:space="preserve">49.95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49.95</w:t>
            </w:r>
          </w:p>
        </w:tc>
        <w:tc>
          <w:tcPr>
            <w:tcW w:w="960" w:type="dxa"/>
            <w:tcBorders/>
            <w:vAlign w:val="center"/>
          </w:tcPr>
          <w:p>
            <w:pPr>
              <w:jc w:val="right"/>
            </w:pPr>
            <w:r>
              <w:rPr>
                <w:rFonts w:ascii="宋体" w:eastAsia="宋体" w:hAnsi="宋体" w:cs="宋体"/>
                <w:b w:val="0"/>
                <w:i w:val="0"/>
                <w:color w:val="000000"/>
                <w:sz w:val="13"/>
              </w:rPr>
              <w:t xml:space="preserve">49.95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49.95</w:t>
            </w:r>
          </w:p>
        </w:tc>
        <w:tc>
          <w:tcPr>
            <w:tcW w:w="960" w:type="dxa"/>
            <w:tcBorders/>
            <w:vAlign w:val="center"/>
          </w:tcPr>
          <w:p>
            <w:pPr>
              <w:jc w:val="right"/>
            </w:pPr>
            <w:r>
              <w:rPr>
                <w:rFonts w:ascii="宋体" w:eastAsia="宋体" w:hAnsi="宋体" w:cs="宋体"/>
                <w:b w:val="0"/>
                <w:i w:val="0"/>
                <w:color w:val="000000"/>
                <w:sz w:val="13"/>
              </w:rPr>
              <w:t xml:space="preserve">49.95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单位：辽宁省沈阳市浑南区卫生健康监督中心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503.99</w:t>
            </w:r>
          </w:p>
        </w:tc>
        <w:tc>
          <w:tcPr>
            <w:tcW w:w="1060" w:type="dxa"/>
            <w:tcBorders/>
            <w:vAlign w:val="center"/>
          </w:tcPr>
          <w:p>
            <w:pPr>
              <w:jc w:val="right"/>
            </w:pPr>
            <w:r>
              <w:rPr>
                <w:rFonts w:ascii="宋体" w:eastAsia="宋体" w:hAnsi="宋体" w:cs="宋体"/>
                <w:b/>
                <w:i w:val="0"/>
                <w:color w:val="000000"/>
                <w:sz w:val="14"/>
              </w:rPr>
              <w:t xml:space="preserve">499.42</w:t>
            </w:r>
          </w:p>
        </w:tc>
        <w:tc>
          <w:tcPr>
            <w:tcW w:w="1060" w:type="dxa"/>
            <w:tcBorders/>
            <w:vAlign w:val="center"/>
          </w:tcPr>
          <w:p>
            <w:pPr>
              <w:jc w:val="right"/>
            </w:pPr>
            <w:r>
              <w:rPr>
                <w:rFonts w:ascii="宋体" w:eastAsia="宋体" w:hAnsi="宋体" w:cs="宋体"/>
                <w:b/>
                <w:i w:val="0"/>
                <w:color w:val="000000"/>
                <w:sz w:val="14"/>
              </w:rPr>
              <w:t xml:space="preserve">4.57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81.57</w:t>
            </w:r>
          </w:p>
        </w:tc>
        <w:tc>
          <w:tcPr>
            <w:tcW w:w="1060" w:type="dxa"/>
            <w:tcBorders/>
            <w:vAlign w:val="center"/>
          </w:tcPr>
          <w:p>
            <w:pPr>
              <w:jc w:val="right"/>
            </w:pPr>
            <w:r>
              <w:rPr>
                <w:rFonts w:ascii="宋体" w:eastAsia="宋体" w:hAnsi="宋体" w:cs="宋体"/>
                <w:b w:val="0"/>
                <w:i w:val="0"/>
                <w:color w:val="000000"/>
                <w:sz w:val="14"/>
              </w:rPr>
              <w:t xml:space="preserve">81.57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78.68</w:t>
            </w:r>
          </w:p>
        </w:tc>
        <w:tc>
          <w:tcPr>
            <w:tcW w:w="1060" w:type="dxa"/>
            <w:tcBorders/>
            <w:vAlign w:val="center"/>
          </w:tcPr>
          <w:p>
            <w:pPr>
              <w:jc w:val="right"/>
            </w:pPr>
            <w:r>
              <w:rPr>
                <w:rFonts w:ascii="宋体" w:eastAsia="宋体" w:hAnsi="宋体" w:cs="宋体"/>
                <w:b w:val="0"/>
                <w:i w:val="0"/>
                <w:color w:val="000000"/>
                <w:sz w:val="14"/>
              </w:rPr>
              <w:t xml:space="preserve">78.68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23.86</w:t>
            </w:r>
          </w:p>
        </w:tc>
        <w:tc>
          <w:tcPr>
            <w:tcW w:w="1060" w:type="dxa"/>
            <w:tcBorders/>
            <w:vAlign w:val="center"/>
          </w:tcPr>
          <w:p>
            <w:pPr>
              <w:jc w:val="right"/>
            </w:pPr>
            <w:r>
              <w:rPr>
                <w:rFonts w:ascii="宋体" w:eastAsia="宋体" w:hAnsi="宋体" w:cs="宋体"/>
                <w:b w:val="0"/>
                <w:i w:val="0"/>
                <w:color w:val="000000"/>
                <w:sz w:val="14"/>
              </w:rPr>
              <w:t xml:space="preserve">23.86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45.14</w:t>
            </w:r>
          </w:p>
        </w:tc>
        <w:tc>
          <w:tcPr>
            <w:tcW w:w="1060" w:type="dxa"/>
            <w:tcBorders/>
            <w:vAlign w:val="center"/>
          </w:tcPr>
          <w:p>
            <w:pPr>
              <w:jc w:val="right"/>
            </w:pPr>
            <w:r>
              <w:rPr>
                <w:rFonts w:ascii="宋体" w:eastAsia="宋体" w:hAnsi="宋体" w:cs="宋体"/>
                <w:b w:val="0"/>
                <w:i w:val="0"/>
                <w:color w:val="000000"/>
                <w:sz w:val="14"/>
              </w:rPr>
              <w:t xml:space="preserve">45.14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9.68</w:t>
            </w:r>
          </w:p>
        </w:tc>
        <w:tc>
          <w:tcPr>
            <w:tcW w:w="1060" w:type="dxa"/>
            <w:tcBorders/>
            <w:vAlign w:val="center"/>
          </w:tcPr>
          <w:p>
            <w:pPr>
              <w:jc w:val="right"/>
            </w:pPr>
            <w:r>
              <w:rPr>
                <w:rFonts w:ascii="宋体" w:eastAsia="宋体" w:hAnsi="宋体" w:cs="宋体"/>
                <w:b w:val="0"/>
                <w:i w:val="0"/>
                <w:color w:val="000000"/>
                <w:sz w:val="14"/>
              </w:rPr>
              <w:t xml:space="preserve">9.68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2.89</w:t>
            </w:r>
          </w:p>
        </w:tc>
        <w:tc>
          <w:tcPr>
            <w:tcW w:w="1060" w:type="dxa"/>
            <w:tcBorders/>
            <w:vAlign w:val="center"/>
          </w:tcPr>
          <w:p>
            <w:pPr>
              <w:jc w:val="right"/>
            </w:pPr>
            <w:r>
              <w:rPr>
                <w:rFonts w:ascii="宋体" w:eastAsia="宋体" w:hAnsi="宋体" w:cs="宋体"/>
                <w:b w:val="0"/>
                <w:i w:val="0"/>
                <w:color w:val="000000"/>
                <w:sz w:val="14"/>
              </w:rPr>
              <w:t xml:space="preserve">2.89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2.89</w:t>
            </w:r>
          </w:p>
        </w:tc>
        <w:tc>
          <w:tcPr>
            <w:tcW w:w="1060" w:type="dxa"/>
            <w:tcBorders/>
            <w:vAlign w:val="center"/>
          </w:tcPr>
          <w:p>
            <w:pPr>
              <w:jc w:val="right"/>
            </w:pPr>
            <w:r>
              <w:rPr>
                <w:rFonts w:ascii="宋体" w:eastAsia="宋体" w:hAnsi="宋体" w:cs="宋体"/>
                <w:b w:val="0"/>
                <w:i w:val="0"/>
                <w:color w:val="000000"/>
                <w:sz w:val="14"/>
              </w:rPr>
              <w:t xml:space="preserve">2.89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372.48</w:t>
            </w:r>
          </w:p>
        </w:tc>
        <w:tc>
          <w:tcPr>
            <w:tcW w:w="1060" w:type="dxa"/>
            <w:tcBorders/>
            <w:vAlign w:val="center"/>
          </w:tcPr>
          <w:p>
            <w:pPr>
              <w:jc w:val="right"/>
            </w:pPr>
            <w:r>
              <w:rPr>
                <w:rFonts w:ascii="宋体" w:eastAsia="宋体" w:hAnsi="宋体" w:cs="宋体"/>
                <w:b w:val="0"/>
                <w:i w:val="0"/>
                <w:color w:val="000000"/>
                <w:sz w:val="14"/>
              </w:rPr>
              <w:t xml:space="preserve">367.91</w:t>
            </w:r>
          </w:p>
        </w:tc>
        <w:tc>
          <w:tcPr>
            <w:tcW w:w="1060" w:type="dxa"/>
            <w:tcBorders/>
            <w:vAlign w:val="center"/>
          </w:tcPr>
          <w:p>
            <w:pPr>
              <w:jc w:val="right"/>
            </w:pPr>
            <w:r>
              <w:rPr>
                <w:rFonts w:ascii="宋体" w:eastAsia="宋体" w:hAnsi="宋体" w:cs="宋体"/>
                <w:b w:val="0"/>
                <w:i w:val="0"/>
                <w:color w:val="000000"/>
                <w:sz w:val="14"/>
              </w:rPr>
              <w:t xml:space="preserve">4.57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w:t>
            </w:r>
          </w:p>
        </w:tc>
        <w:tc>
          <w:tcPr>
            <w:tcW w:w="3440" w:type="dxa"/>
            <w:tcBorders/>
            <w:vAlign w:val="center"/>
          </w:tcPr>
          <w:p>
            <w:pPr>
              <w:jc w:val="left"/>
            </w:pPr>
            <w:r>
              <w:rPr>
                <w:rFonts w:ascii="宋体" w:eastAsia="宋体" w:hAnsi="宋体" w:cs="宋体"/>
                <w:b w:val="0"/>
                <w:i w:val="0"/>
                <w:color w:val="000000"/>
                <w:sz w:val="14"/>
              </w:rPr>
              <w:t xml:space="preserve">公共卫生</w:t>
            </w:r>
          </w:p>
        </w:tc>
        <w:tc>
          <w:tcPr>
            <w:tcW w:w="1060" w:type="dxa"/>
            <w:tcBorders/>
            <w:vAlign w:val="center"/>
          </w:tcPr>
          <w:p>
            <w:pPr>
              <w:jc w:val="right"/>
            </w:pPr>
            <w:r>
              <w:rPr>
                <w:rFonts w:ascii="宋体" w:eastAsia="宋体" w:hAnsi="宋体" w:cs="宋体"/>
                <w:b w:val="0"/>
                <w:i w:val="0"/>
                <w:color w:val="000000"/>
                <w:sz w:val="14"/>
              </w:rPr>
              <w:t xml:space="preserve">354.46</w:t>
            </w:r>
          </w:p>
        </w:tc>
        <w:tc>
          <w:tcPr>
            <w:tcW w:w="1060" w:type="dxa"/>
            <w:tcBorders/>
            <w:vAlign w:val="center"/>
          </w:tcPr>
          <w:p>
            <w:pPr>
              <w:jc w:val="right"/>
            </w:pPr>
            <w:r>
              <w:rPr>
                <w:rFonts w:ascii="宋体" w:eastAsia="宋体" w:hAnsi="宋体" w:cs="宋体"/>
                <w:b w:val="0"/>
                <w:i w:val="0"/>
                <w:color w:val="000000"/>
                <w:sz w:val="14"/>
              </w:rPr>
              <w:t xml:space="preserve">349.89</w:t>
            </w:r>
          </w:p>
        </w:tc>
        <w:tc>
          <w:tcPr>
            <w:tcW w:w="1060" w:type="dxa"/>
            <w:tcBorders/>
            <w:vAlign w:val="center"/>
          </w:tcPr>
          <w:p>
            <w:pPr>
              <w:jc w:val="right"/>
            </w:pPr>
            <w:r>
              <w:rPr>
                <w:rFonts w:ascii="宋体" w:eastAsia="宋体" w:hAnsi="宋体" w:cs="宋体"/>
                <w:b w:val="0"/>
                <w:i w:val="0"/>
                <w:color w:val="000000"/>
                <w:sz w:val="14"/>
              </w:rPr>
              <w:t xml:space="preserve">4.57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2100402</w:t>
            </w:r>
          </w:p>
        </w:tc>
        <w:tc>
          <w:tcPr>
            <w:tcW w:w="3440" w:type="dxa"/>
            <w:tcBorders/>
            <w:vAlign w:val="center"/>
          </w:tcPr>
          <w:p>
            <w:pPr>
              <w:jc w:val="left"/>
            </w:pPr>
            <w:r>
              <w:rPr>
                <w:rFonts w:ascii="宋体" w:eastAsia="宋体" w:hAnsi="宋体" w:cs="宋体"/>
                <w:b w:val="0"/>
                <w:i w:val="0"/>
                <w:color w:val="000000"/>
                <w:sz w:val="14"/>
              </w:rPr>
              <w:t xml:space="preserve">卫生监督机构</w:t>
            </w:r>
          </w:p>
        </w:tc>
        <w:tc>
          <w:tcPr>
            <w:tcW w:w="1060" w:type="dxa"/>
            <w:tcBorders/>
            <w:vAlign w:val="center"/>
          </w:tcPr>
          <w:p>
            <w:pPr>
              <w:jc w:val="right"/>
            </w:pPr>
            <w:r>
              <w:rPr>
                <w:rFonts w:ascii="宋体" w:eastAsia="宋体" w:hAnsi="宋体" w:cs="宋体"/>
                <w:b w:val="0"/>
                <w:i w:val="0"/>
                <w:color w:val="000000"/>
                <w:sz w:val="14"/>
              </w:rPr>
              <w:t xml:space="preserve">354.46</w:t>
            </w:r>
          </w:p>
        </w:tc>
        <w:tc>
          <w:tcPr>
            <w:tcW w:w="1060" w:type="dxa"/>
            <w:tcBorders/>
            <w:vAlign w:val="center"/>
          </w:tcPr>
          <w:p>
            <w:pPr>
              <w:jc w:val="right"/>
            </w:pPr>
            <w:r>
              <w:rPr>
                <w:rFonts w:ascii="宋体" w:eastAsia="宋体" w:hAnsi="宋体" w:cs="宋体"/>
                <w:b w:val="0"/>
                <w:i w:val="0"/>
                <w:color w:val="000000"/>
                <w:sz w:val="14"/>
              </w:rPr>
              <w:t xml:space="preserve">349.89</w:t>
            </w:r>
          </w:p>
        </w:tc>
        <w:tc>
          <w:tcPr>
            <w:tcW w:w="1060" w:type="dxa"/>
            <w:tcBorders/>
            <w:vAlign w:val="center"/>
          </w:tcPr>
          <w:p>
            <w:pPr>
              <w:jc w:val="right"/>
            </w:pPr>
            <w:r>
              <w:rPr>
                <w:rFonts w:ascii="宋体" w:eastAsia="宋体" w:hAnsi="宋体" w:cs="宋体"/>
                <w:b w:val="0"/>
                <w:i w:val="0"/>
                <w:color w:val="000000"/>
                <w:sz w:val="14"/>
              </w:rPr>
              <w:t xml:space="preserve">4.57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18.02</w:t>
            </w:r>
          </w:p>
        </w:tc>
        <w:tc>
          <w:tcPr>
            <w:tcW w:w="1060" w:type="dxa"/>
            <w:tcBorders/>
            <w:vAlign w:val="center"/>
          </w:tcPr>
          <w:p>
            <w:pPr>
              <w:jc w:val="right"/>
            </w:pPr>
            <w:r>
              <w:rPr>
                <w:rFonts w:ascii="宋体" w:eastAsia="宋体" w:hAnsi="宋体" w:cs="宋体"/>
                <w:b w:val="0"/>
                <w:i w:val="0"/>
                <w:color w:val="000000"/>
                <w:sz w:val="14"/>
              </w:rPr>
              <w:t xml:space="preserve">18.02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18.02</w:t>
            </w:r>
          </w:p>
        </w:tc>
        <w:tc>
          <w:tcPr>
            <w:tcW w:w="1060" w:type="dxa"/>
            <w:tcBorders/>
            <w:vAlign w:val="center"/>
          </w:tcPr>
          <w:p>
            <w:pPr>
              <w:jc w:val="right"/>
            </w:pPr>
            <w:r>
              <w:rPr>
                <w:rFonts w:ascii="宋体" w:eastAsia="宋体" w:hAnsi="宋体" w:cs="宋体"/>
                <w:b w:val="0"/>
                <w:i w:val="0"/>
                <w:color w:val="000000"/>
                <w:sz w:val="14"/>
              </w:rPr>
              <w:t xml:space="preserve">18.02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49.95</w:t>
            </w:r>
          </w:p>
        </w:tc>
        <w:tc>
          <w:tcPr>
            <w:tcW w:w="1060" w:type="dxa"/>
            <w:tcBorders/>
            <w:vAlign w:val="center"/>
          </w:tcPr>
          <w:p>
            <w:pPr>
              <w:jc w:val="right"/>
            </w:pPr>
            <w:r>
              <w:rPr>
                <w:rFonts w:ascii="宋体" w:eastAsia="宋体" w:hAnsi="宋体" w:cs="宋体"/>
                <w:b w:val="0"/>
                <w:i w:val="0"/>
                <w:color w:val="000000"/>
                <w:sz w:val="14"/>
              </w:rPr>
              <w:t xml:space="preserve">49.95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49.95</w:t>
            </w:r>
          </w:p>
        </w:tc>
        <w:tc>
          <w:tcPr>
            <w:tcW w:w="1060" w:type="dxa"/>
            <w:tcBorders/>
            <w:vAlign w:val="center"/>
          </w:tcPr>
          <w:p>
            <w:pPr>
              <w:jc w:val="right"/>
            </w:pPr>
            <w:r>
              <w:rPr>
                <w:rFonts w:ascii="宋体" w:eastAsia="宋体" w:hAnsi="宋体" w:cs="宋体"/>
                <w:b w:val="0"/>
                <w:i w:val="0"/>
                <w:color w:val="000000"/>
                <w:sz w:val="14"/>
              </w:rPr>
              <w:t xml:space="preserve">49.95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49.95</w:t>
            </w:r>
          </w:p>
        </w:tc>
        <w:tc>
          <w:tcPr>
            <w:tcW w:w="1060" w:type="dxa"/>
            <w:tcBorders/>
            <w:vAlign w:val="center"/>
          </w:tcPr>
          <w:p>
            <w:pPr>
              <w:jc w:val="right"/>
            </w:pPr>
            <w:r>
              <w:rPr>
                <w:rFonts w:ascii="宋体" w:eastAsia="宋体" w:hAnsi="宋体" w:cs="宋体"/>
                <w:b w:val="0"/>
                <w:i w:val="0"/>
                <w:color w:val="000000"/>
                <w:sz w:val="14"/>
              </w:rPr>
              <w:t xml:space="preserve">49.95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单位：辽宁省沈阳市浑南区卫生健康监督中心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503.99</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81.57</w:t>
            </w:r>
          </w:p>
        </w:tc>
        <w:tc>
          <w:tcPr>
            <w:tcW w:w="1100" w:type="dxa"/>
            <w:tcBorders/>
            <w:vAlign w:val="center"/>
          </w:tcPr>
          <w:p>
            <w:pPr>
              <w:jc w:val="right"/>
            </w:pPr>
            <w:r>
              <w:rPr>
                <w:rFonts w:ascii="宋体" w:eastAsia="宋体" w:hAnsi="宋体" w:cs="宋体"/>
                <w:b w:val="0"/>
                <w:i w:val="0"/>
                <w:color w:val="000000"/>
                <w:sz w:val="14"/>
              </w:rPr>
              <w:t xml:space="preserve">81.57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372.47</w:t>
            </w:r>
          </w:p>
        </w:tc>
        <w:tc>
          <w:tcPr>
            <w:tcW w:w="1100" w:type="dxa"/>
            <w:tcBorders/>
            <w:vAlign w:val="center"/>
          </w:tcPr>
          <w:p>
            <w:pPr>
              <w:jc w:val="right"/>
            </w:pPr>
            <w:r>
              <w:rPr>
                <w:rFonts w:ascii="宋体" w:eastAsia="宋体" w:hAnsi="宋体" w:cs="宋体"/>
                <w:b w:val="0"/>
                <w:i w:val="0"/>
                <w:color w:val="000000"/>
                <w:sz w:val="14"/>
              </w:rPr>
              <w:t xml:space="preserve">372.47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49.95</w:t>
            </w:r>
          </w:p>
        </w:tc>
        <w:tc>
          <w:tcPr>
            <w:tcW w:w="1100" w:type="dxa"/>
            <w:tcBorders/>
            <w:vAlign w:val="center"/>
          </w:tcPr>
          <w:p>
            <w:pPr>
              <w:jc w:val="right"/>
            </w:pPr>
            <w:r>
              <w:rPr>
                <w:rFonts w:ascii="宋体" w:eastAsia="宋体" w:hAnsi="宋体" w:cs="宋体"/>
                <w:b w:val="0"/>
                <w:i w:val="0"/>
                <w:color w:val="000000"/>
                <w:sz w:val="14"/>
              </w:rPr>
              <w:t xml:space="preserve">49.95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503.99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503.99</w:t>
            </w:r>
          </w:p>
        </w:tc>
        <w:tc>
          <w:tcPr>
            <w:tcW w:w="1100" w:type="dxa"/>
            <w:tcBorders/>
            <w:vAlign w:val="center"/>
          </w:tcPr>
          <w:p>
            <w:pPr>
              <w:jc w:val="right"/>
            </w:pPr>
            <w:r>
              <w:rPr>
                <w:rFonts w:ascii="宋体" w:eastAsia="宋体" w:hAnsi="宋体" w:cs="宋体"/>
                <w:b w:val="0"/>
                <w:i w:val="0"/>
                <w:color w:val="000000"/>
                <w:sz w:val="14"/>
              </w:rPr>
              <w:t xml:space="preserve">503.99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503.99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503.99</w:t>
            </w:r>
          </w:p>
        </w:tc>
        <w:tc>
          <w:tcPr>
            <w:tcW w:w="1100" w:type="dxa"/>
            <w:tcBorders/>
            <w:vAlign w:val="center"/>
          </w:tcPr>
          <w:p>
            <w:pPr>
              <w:jc w:val="right"/>
            </w:pPr>
            <w:r>
              <w:rPr>
                <w:rFonts w:ascii="宋体" w:eastAsia="宋体" w:hAnsi="宋体" w:cs="宋体"/>
                <w:b w:val="0"/>
                <w:i w:val="0"/>
                <w:color w:val="000000"/>
                <w:sz w:val="14"/>
              </w:rPr>
              <w:t xml:space="preserve">503.99</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单位：辽宁省沈阳市浑南区卫生健康监督中心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503.99</w:t>
            </w:r>
          </w:p>
        </w:tc>
        <w:tc>
          <w:tcPr>
            <w:tcW w:w="1780" w:type="dxa"/>
            <w:tcBorders/>
            <w:vAlign w:val="center"/>
          </w:tcPr>
          <w:p>
            <w:pPr>
              <w:jc w:val="right"/>
            </w:pPr>
            <w:r>
              <w:rPr>
                <w:rFonts w:ascii="宋体" w:eastAsia="宋体" w:hAnsi="宋体" w:cs="宋体"/>
                <w:b/>
                <w:i w:val="0"/>
                <w:color w:val="000000"/>
                <w:sz w:val="18"/>
              </w:rPr>
              <w:t xml:space="preserve">499.42</w:t>
            </w:r>
          </w:p>
        </w:tc>
        <w:tc>
          <w:tcPr>
            <w:tcW w:w="1772" w:type="dxa"/>
            <w:tcBorders/>
            <w:vAlign w:val="center"/>
          </w:tcPr>
          <w:p>
            <w:pPr>
              <w:jc w:val="right"/>
            </w:pPr>
            <w:r>
              <w:rPr>
                <w:rFonts w:ascii="宋体" w:eastAsia="宋体" w:hAnsi="宋体" w:cs="宋体"/>
                <w:b/>
                <w:i w:val="0"/>
                <w:color w:val="000000"/>
                <w:sz w:val="18"/>
              </w:rPr>
              <w:t xml:space="preserve">4.57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81.57</w:t>
            </w:r>
          </w:p>
        </w:tc>
        <w:tc>
          <w:tcPr>
            <w:tcW w:w="1780" w:type="dxa"/>
            <w:tcBorders/>
            <w:vAlign w:val="center"/>
          </w:tcPr>
          <w:p>
            <w:pPr>
              <w:jc w:val="right"/>
            </w:pPr>
            <w:r>
              <w:rPr>
                <w:rFonts w:ascii="宋体" w:eastAsia="宋体" w:hAnsi="宋体" w:cs="宋体"/>
                <w:b w:val="0"/>
                <w:i w:val="0"/>
                <w:color w:val="000000"/>
                <w:sz w:val="18"/>
              </w:rPr>
              <w:t xml:space="preserve">81.57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78.68</w:t>
            </w:r>
          </w:p>
        </w:tc>
        <w:tc>
          <w:tcPr>
            <w:tcW w:w="1780" w:type="dxa"/>
            <w:tcBorders/>
            <w:vAlign w:val="center"/>
          </w:tcPr>
          <w:p>
            <w:pPr>
              <w:jc w:val="right"/>
            </w:pPr>
            <w:r>
              <w:rPr>
                <w:rFonts w:ascii="宋体" w:eastAsia="宋体" w:hAnsi="宋体" w:cs="宋体"/>
                <w:b w:val="0"/>
                <w:i w:val="0"/>
                <w:color w:val="000000"/>
                <w:sz w:val="18"/>
              </w:rPr>
              <w:t xml:space="preserve">78.68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23.86</w:t>
            </w:r>
          </w:p>
        </w:tc>
        <w:tc>
          <w:tcPr>
            <w:tcW w:w="1780" w:type="dxa"/>
            <w:tcBorders/>
            <w:vAlign w:val="center"/>
          </w:tcPr>
          <w:p>
            <w:pPr>
              <w:jc w:val="right"/>
            </w:pPr>
            <w:r>
              <w:rPr>
                <w:rFonts w:ascii="宋体" w:eastAsia="宋体" w:hAnsi="宋体" w:cs="宋体"/>
                <w:b w:val="0"/>
                <w:i w:val="0"/>
                <w:color w:val="000000"/>
                <w:sz w:val="18"/>
              </w:rPr>
              <w:t xml:space="preserve">23.86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45.14</w:t>
            </w:r>
          </w:p>
        </w:tc>
        <w:tc>
          <w:tcPr>
            <w:tcW w:w="1780" w:type="dxa"/>
            <w:tcBorders/>
            <w:vAlign w:val="center"/>
          </w:tcPr>
          <w:p>
            <w:pPr>
              <w:jc w:val="right"/>
            </w:pPr>
            <w:r>
              <w:rPr>
                <w:rFonts w:ascii="宋体" w:eastAsia="宋体" w:hAnsi="宋体" w:cs="宋体"/>
                <w:b w:val="0"/>
                <w:i w:val="0"/>
                <w:color w:val="000000"/>
                <w:sz w:val="18"/>
              </w:rPr>
              <w:t xml:space="preserve">45.14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9.68</w:t>
            </w:r>
          </w:p>
        </w:tc>
        <w:tc>
          <w:tcPr>
            <w:tcW w:w="1780" w:type="dxa"/>
            <w:tcBorders/>
            <w:vAlign w:val="center"/>
          </w:tcPr>
          <w:p>
            <w:pPr>
              <w:jc w:val="right"/>
            </w:pPr>
            <w:r>
              <w:rPr>
                <w:rFonts w:ascii="宋体" w:eastAsia="宋体" w:hAnsi="宋体" w:cs="宋体"/>
                <w:b w:val="0"/>
                <w:i w:val="0"/>
                <w:color w:val="000000"/>
                <w:sz w:val="18"/>
              </w:rPr>
              <w:t xml:space="preserve">9.68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2.89</w:t>
            </w:r>
          </w:p>
        </w:tc>
        <w:tc>
          <w:tcPr>
            <w:tcW w:w="1780" w:type="dxa"/>
            <w:tcBorders/>
            <w:vAlign w:val="center"/>
          </w:tcPr>
          <w:p>
            <w:pPr>
              <w:jc w:val="right"/>
            </w:pPr>
            <w:r>
              <w:rPr>
                <w:rFonts w:ascii="宋体" w:eastAsia="宋体" w:hAnsi="宋体" w:cs="宋体"/>
                <w:b w:val="0"/>
                <w:i w:val="0"/>
                <w:color w:val="000000"/>
                <w:sz w:val="18"/>
              </w:rPr>
              <w:t xml:space="preserve">2.89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2.89</w:t>
            </w:r>
          </w:p>
        </w:tc>
        <w:tc>
          <w:tcPr>
            <w:tcW w:w="1780" w:type="dxa"/>
            <w:tcBorders/>
            <w:vAlign w:val="center"/>
          </w:tcPr>
          <w:p>
            <w:pPr>
              <w:jc w:val="right"/>
            </w:pPr>
            <w:r>
              <w:rPr>
                <w:rFonts w:ascii="宋体" w:eastAsia="宋体" w:hAnsi="宋体" w:cs="宋体"/>
                <w:b w:val="0"/>
                <w:i w:val="0"/>
                <w:color w:val="000000"/>
                <w:sz w:val="18"/>
              </w:rPr>
              <w:t xml:space="preserve">2.89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372.48</w:t>
            </w:r>
          </w:p>
        </w:tc>
        <w:tc>
          <w:tcPr>
            <w:tcW w:w="1780" w:type="dxa"/>
            <w:tcBorders/>
            <w:vAlign w:val="center"/>
          </w:tcPr>
          <w:p>
            <w:pPr>
              <w:jc w:val="right"/>
            </w:pPr>
            <w:r>
              <w:rPr>
                <w:rFonts w:ascii="宋体" w:eastAsia="宋体" w:hAnsi="宋体" w:cs="宋体"/>
                <w:b w:val="0"/>
                <w:i w:val="0"/>
                <w:color w:val="000000"/>
                <w:sz w:val="18"/>
              </w:rPr>
              <w:t xml:space="preserve">367.91</w:t>
            </w:r>
          </w:p>
        </w:tc>
        <w:tc>
          <w:tcPr>
            <w:tcW w:w="1772" w:type="dxa"/>
            <w:tcBorders/>
            <w:vAlign w:val="center"/>
          </w:tcPr>
          <w:p>
            <w:pPr>
              <w:jc w:val="right"/>
            </w:pPr>
            <w:r>
              <w:rPr>
                <w:rFonts w:ascii="宋体" w:eastAsia="宋体" w:hAnsi="宋体" w:cs="宋体"/>
                <w:b w:val="0"/>
                <w:i w:val="0"/>
                <w:color w:val="000000"/>
                <w:sz w:val="18"/>
              </w:rPr>
              <w:t xml:space="preserve">4.57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w:t>
            </w:r>
          </w:p>
        </w:tc>
        <w:tc>
          <w:tcPr>
            <w:tcW w:w="4300" w:type="dxa"/>
            <w:tcBorders/>
            <w:vAlign w:val="center"/>
          </w:tcPr>
          <w:p>
            <w:pPr>
              <w:jc w:val="left"/>
            </w:pPr>
            <w:r>
              <w:rPr>
                <w:rFonts w:ascii="宋体" w:eastAsia="宋体" w:hAnsi="宋体" w:cs="宋体"/>
                <w:b w:val="0"/>
                <w:i w:val="0"/>
                <w:color w:val="000000"/>
                <w:sz w:val="18"/>
              </w:rPr>
              <w:t xml:space="preserve">公共卫生</w:t>
            </w:r>
          </w:p>
        </w:tc>
        <w:tc>
          <w:tcPr>
            <w:tcW w:w="1780" w:type="dxa"/>
            <w:tcBorders/>
            <w:vAlign w:val="center"/>
          </w:tcPr>
          <w:p>
            <w:pPr>
              <w:jc w:val="right"/>
            </w:pPr>
            <w:r>
              <w:rPr>
                <w:rFonts w:ascii="宋体" w:eastAsia="宋体" w:hAnsi="宋体" w:cs="宋体"/>
                <w:b w:val="0"/>
                <w:i w:val="0"/>
                <w:color w:val="000000"/>
                <w:sz w:val="18"/>
              </w:rPr>
              <w:t xml:space="preserve">354.46</w:t>
            </w:r>
          </w:p>
        </w:tc>
        <w:tc>
          <w:tcPr>
            <w:tcW w:w="1780" w:type="dxa"/>
            <w:tcBorders/>
            <w:vAlign w:val="center"/>
          </w:tcPr>
          <w:p>
            <w:pPr>
              <w:jc w:val="right"/>
            </w:pPr>
            <w:r>
              <w:rPr>
                <w:rFonts w:ascii="宋体" w:eastAsia="宋体" w:hAnsi="宋体" w:cs="宋体"/>
                <w:b w:val="0"/>
                <w:i w:val="0"/>
                <w:color w:val="000000"/>
                <w:sz w:val="18"/>
              </w:rPr>
              <w:t xml:space="preserve">349.89</w:t>
            </w:r>
          </w:p>
        </w:tc>
        <w:tc>
          <w:tcPr>
            <w:tcW w:w="1772" w:type="dxa"/>
            <w:tcBorders/>
            <w:vAlign w:val="center"/>
          </w:tcPr>
          <w:p>
            <w:pPr>
              <w:jc w:val="right"/>
            </w:pPr>
            <w:r>
              <w:rPr>
                <w:rFonts w:ascii="宋体" w:eastAsia="宋体" w:hAnsi="宋体" w:cs="宋体"/>
                <w:b w:val="0"/>
                <w:i w:val="0"/>
                <w:color w:val="000000"/>
                <w:sz w:val="18"/>
              </w:rPr>
              <w:t xml:space="preserve">4.57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2100402</w:t>
            </w:r>
          </w:p>
        </w:tc>
        <w:tc>
          <w:tcPr>
            <w:tcW w:w="4300" w:type="dxa"/>
            <w:tcBorders/>
            <w:vAlign w:val="center"/>
          </w:tcPr>
          <w:p>
            <w:pPr>
              <w:jc w:val="left"/>
            </w:pPr>
            <w:r>
              <w:rPr>
                <w:rFonts w:ascii="宋体" w:eastAsia="宋体" w:hAnsi="宋体" w:cs="宋体"/>
                <w:b w:val="0"/>
                <w:i w:val="0"/>
                <w:color w:val="000000"/>
                <w:sz w:val="18"/>
              </w:rPr>
              <w:t xml:space="preserve">卫生监督机构</w:t>
            </w:r>
          </w:p>
        </w:tc>
        <w:tc>
          <w:tcPr>
            <w:tcW w:w="1780" w:type="dxa"/>
            <w:tcBorders/>
            <w:vAlign w:val="center"/>
          </w:tcPr>
          <w:p>
            <w:pPr>
              <w:jc w:val="right"/>
            </w:pPr>
            <w:r>
              <w:rPr>
                <w:rFonts w:ascii="宋体" w:eastAsia="宋体" w:hAnsi="宋体" w:cs="宋体"/>
                <w:b w:val="0"/>
                <w:i w:val="0"/>
                <w:color w:val="000000"/>
                <w:sz w:val="18"/>
              </w:rPr>
              <w:t xml:space="preserve">354.46</w:t>
            </w:r>
          </w:p>
        </w:tc>
        <w:tc>
          <w:tcPr>
            <w:tcW w:w="1780" w:type="dxa"/>
            <w:tcBorders/>
            <w:vAlign w:val="center"/>
          </w:tcPr>
          <w:p>
            <w:pPr>
              <w:jc w:val="right"/>
            </w:pPr>
            <w:r>
              <w:rPr>
                <w:rFonts w:ascii="宋体" w:eastAsia="宋体" w:hAnsi="宋体" w:cs="宋体"/>
                <w:b w:val="0"/>
                <w:i w:val="0"/>
                <w:color w:val="000000"/>
                <w:sz w:val="18"/>
              </w:rPr>
              <w:t xml:space="preserve">349.89</w:t>
            </w:r>
          </w:p>
        </w:tc>
        <w:tc>
          <w:tcPr>
            <w:tcW w:w="1772" w:type="dxa"/>
            <w:tcBorders/>
            <w:vAlign w:val="center"/>
          </w:tcPr>
          <w:p>
            <w:pPr>
              <w:jc w:val="right"/>
            </w:pPr>
            <w:r>
              <w:rPr>
                <w:rFonts w:ascii="宋体" w:eastAsia="宋体" w:hAnsi="宋体" w:cs="宋体"/>
                <w:b w:val="0"/>
                <w:i w:val="0"/>
                <w:color w:val="000000"/>
                <w:sz w:val="18"/>
              </w:rPr>
              <w:t xml:space="preserve">4.57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18.02</w:t>
            </w:r>
          </w:p>
        </w:tc>
        <w:tc>
          <w:tcPr>
            <w:tcW w:w="1780" w:type="dxa"/>
            <w:tcBorders/>
            <w:vAlign w:val="center"/>
          </w:tcPr>
          <w:p>
            <w:pPr>
              <w:jc w:val="right"/>
            </w:pPr>
            <w:r>
              <w:rPr>
                <w:rFonts w:ascii="宋体" w:eastAsia="宋体" w:hAnsi="宋体" w:cs="宋体"/>
                <w:b w:val="0"/>
                <w:i w:val="0"/>
                <w:color w:val="000000"/>
                <w:sz w:val="18"/>
              </w:rPr>
              <w:t xml:space="preserve">18.02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18.02</w:t>
            </w:r>
          </w:p>
        </w:tc>
        <w:tc>
          <w:tcPr>
            <w:tcW w:w="1780" w:type="dxa"/>
            <w:tcBorders/>
            <w:vAlign w:val="center"/>
          </w:tcPr>
          <w:p>
            <w:pPr>
              <w:jc w:val="right"/>
            </w:pPr>
            <w:r>
              <w:rPr>
                <w:rFonts w:ascii="宋体" w:eastAsia="宋体" w:hAnsi="宋体" w:cs="宋体"/>
                <w:b w:val="0"/>
                <w:i w:val="0"/>
                <w:color w:val="000000"/>
                <w:sz w:val="18"/>
              </w:rPr>
              <w:t xml:space="preserve">18.02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49.95</w:t>
            </w:r>
          </w:p>
        </w:tc>
        <w:tc>
          <w:tcPr>
            <w:tcW w:w="1780" w:type="dxa"/>
            <w:tcBorders/>
            <w:vAlign w:val="center"/>
          </w:tcPr>
          <w:p>
            <w:pPr>
              <w:jc w:val="right"/>
            </w:pPr>
            <w:r>
              <w:rPr>
                <w:rFonts w:ascii="宋体" w:eastAsia="宋体" w:hAnsi="宋体" w:cs="宋体"/>
                <w:b w:val="0"/>
                <w:i w:val="0"/>
                <w:color w:val="000000"/>
                <w:sz w:val="18"/>
              </w:rPr>
              <w:t xml:space="preserve">49.95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49.95</w:t>
            </w:r>
          </w:p>
        </w:tc>
        <w:tc>
          <w:tcPr>
            <w:tcW w:w="1780" w:type="dxa"/>
            <w:tcBorders/>
            <w:vAlign w:val="center"/>
          </w:tcPr>
          <w:p>
            <w:pPr>
              <w:jc w:val="right"/>
            </w:pPr>
            <w:r>
              <w:rPr>
                <w:rFonts w:ascii="宋体" w:eastAsia="宋体" w:hAnsi="宋体" w:cs="宋体"/>
                <w:b w:val="0"/>
                <w:i w:val="0"/>
                <w:color w:val="000000"/>
                <w:sz w:val="18"/>
              </w:rPr>
              <w:t xml:space="preserve">49.95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49.95</w:t>
            </w:r>
          </w:p>
        </w:tc>
        <w:tc>
          <w:tcPr>
            <w:tcW w:w="1780" w:type="dxa"/>
            <w:tcBorders/>
            <w:vAlign w:val="center"/>
          </w:tcPr>
          <w:p>
            <w:pPr>
              <w:jc w:val="right"/>
            </w:pPr>
            <w:r>
              <w:rPr>
                <w:rFonts w:ascii="宋体" w:eastAsia="宋体" w:hAnsi="宋体" w:cs="宋体"/>
                <w:b w:val="0"/>
                <w:i w:val="0"/>
                <w:color w:val="000000"/>
                <w:sz w:val="18"/>
              </w:rPr>
              <w:t xml:space="preserve">49.95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单位：辽宁省沈阳市浑南区卫生健康监督中心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446.19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23.98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128.26</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3.81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10.66</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0.29</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11.71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10.62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161.01</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45.14</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9.68</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14.99</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18.02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1.13</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0.19</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49.95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29.26</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jc w:val="right"/>
            </w:pPr>
            <w:r>
              <w:rPr>
                <w:rFonts w:ascii="宋体" w:eastAsia="宋体" w:hAnsi="宋体" w:cs="宋体"/>
                <w:b w:val="0"/>
                <w:i w:val="0"/>
                <w:color w:val="000000"/>
                <w:sz w:val="14"/>
              </w:rPr>
              <w:t xml:space="preserve">16.21</w:t>
            </w: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7.65</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2.89</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2.52</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1.14</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jc w:val="right"/>
            </w:pPr>
            <w:r>
              <w:rPr>
                <w:rFonts w:ascii="宋体" w:eastAsia="宋体" w:hAnsi="宋体" w:cs="宋体"/>
                <w:b w:val="0"/>
                <w:i w:val="0"/>
                <w:color w:val="000000"/>
                <w:sz w:val="14"/>
              </w:rPr>
              <w:t xml:space="preserve">0.87</w:t>
            </w: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2.64</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jc w:val="right"/>
            </w:pPr>
            <w:r>
              <w:rPr>
                <w:rFonts w:ascii="宋体" w:eastAsia="宋体" w:hAnsi="宋体" w:cs="宋体"/>
                <w:b w:val="0"/>
                <w:i w:val="0"/>
                <w:color w:val="000000"/>
                <w:sz w:val="14"/>
              </w:rPr>
              <w:t xml:space="preserve">0.05</w:t>
            </w: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475.45</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23.98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单位：辽宁省沈阳市浑南区卫生健康监督中心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单位：辽宁省沈阳市浑南区卫生健康监督中心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单位：辽宁省沈阳市浑南区卫生健康监督中心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雇员、派遣。公益岗人员经费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沈阳市浑南区卫生健康监督中心-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我单位2024年因日常工作需要，派遣制职工4人，按照人事局审批金额，申请伙食补助费和办公费，合计35200元，以便于工作的开展。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我单位伙食费全额支付，按质完成。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打造特色产业项目数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卫生健康人才培训通过率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减少群众生命财产损失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提高卫生人才队伍建设水平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沈阳市浑南区卫生健康监督中心-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残疾人就业保障金在编人员26人*1710元=4.45万元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我单位残疾人就业保障金全额支付，按质完成。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健康促进县（区）建设完成数量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组织开展公共卫生重点工作试点调研和督导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国家卫生应急队伍队员培训演练合格率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医疗补充保险补助标准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委托检测费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沈阳市浑南区卫生健康监督中心-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加强公共卫生、医疗卫生等监督执法工作，按照国务院关于“双随机、一公开”的工作部署和2021年卫生健康重点工作有关要求，通过聘请第三方进行检测，为监督执法工作提供技术支持，弥补了监督中心进行技术检测的空白，做到了执法与检测分离，确保了国家随机监督抽查工作顺利开展。组织制定了国家随机监督抽查计划。将综合评价结果纳入今后日常管理措施中，日常公共场所管理工作相衔接，提升了公共场所服务质量，提升了人民幸福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项目已经完成，待资金到位后完成支付。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项目评审数量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卫生健康人才培训通过率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公开招标中标价</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拉动产业投资增长率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村民增收致富金额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促进哲学社会科学发展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保障生态环境持续恢复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040003沈阳市浑南区卫生健康监督中心-210112000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593.7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593.7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114.34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114.33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361.11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361.11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贯彻中央财政工作金融工作的方针政策，履行职责过程中坚持和加强党对财政工作和金融工作的集中统一领导。根据预算合理完成2024年人员类项目及公用经费项目。</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2024工作已完成，保障了人员经费和公用经费的支出，按时完成了各项业务工作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推进依法治国</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进度</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检验检测认证服务供给水平提升度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提高水平</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基层医疗卫生机构满意度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实行卫生医药体制改革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