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辽宁省沈阳市浑南区交通运输局（本级）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辽宁省沈阳市浑南区交通运输局（本级）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辽宁省沈阳市浑南区交通运输局（本级）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辽宁省沈阳市浑南区交通运输局（本级）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辽宁省沈阳市浑南区交通运输局（本级）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辽宁省沈阳市浑南区交通运输局（本级）概况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（一）贯彻执行国家有关交通运输行业的发展战略、方针政策和法律、法规、规章及省、市有关要求，落实全区交通运输行业的发展战略、政策和标准，指导全区交通运输行业体制改革工作。 </w:t>
        <w:br/>
        <w:t xml:space="preserve">    （二）负责编制公路建设及其他交通基础设施建设的长期规划和年度计划并组织实施，指导全区综合交通运输体系建设，统筹区内公路、水路行业发展，优化区内交通运输主要通道和重要枢纽节点布局，促进各种交通运输方式融合。 </w:t>
        <w:br/>
        <w:t xml:space="preserve">    （三）承担全区农村公路建设市场监管责任，统筹协调城乡公路发展，负责全区农村公路及其附属设施的建设与维护的监督和管理，承接市、区公路建设任务工作。 </w:t>
        <w:br/>
        <w:t xml:space="preserve">    （四）指导城市公共交通的行业管理，指导全区交通运输行业环境保护和节能减排工作。 </w:t>
        <w:br/>
        <w:t xml:space="preserve">    （五）贯彻执行国家及省、市有关交通运输综合行政执法的法律、法规、政策，落实市、区交通运输行业的发展战略、政策和标准，负责交通运输综合行政执法方面的政策研究，制定交通运输综合行政执法工作规划、计划、管理制度。 </w:t>
        <w:br/>
        <w:t xml:space="preserve">    （六）负责本行政区域内农村公路路政和工程质量监督、道路运政等执法工作。 </w:t>
        <w:br/>
        <w:t xml:space="preserve">    （七）负责交通运输市场相关事中事后监管工作；对交通运输经营行为和安全生产工作进行监督、检查、处罚，维护交通运输市场秩序。 </w:t>
        <w:br/>
        <w:t xml:space="preserve">    （八）负责交通运输综合行政执法相关法律事务工作。 </w:t>
        <w:br/>
        <w:t xml:space="preserve">    （九）开展公路联合治超，联合整治交通运输行业非法经营、重大专项执法、跨区域执法等工作。 </w:t>
        <w:br/>
        <w:t xml:space="preserve">    （十）参与市、区交通运输系统重大运输保障、抢险救灾、应急处置等工作。 </w:t>
        <w:br/>
        <w:t xml:space="preserve">    （十一）负责本部门及相关行业领域安全生产和职业健康监管工作。 </w:t>
        <w:br/>
        <w:t xml:space="preserve">    （十二）负责本部门及相关行业领域人才工作。 </w:t>
        <w:br/>
        <w:t xml:space="preserve">    （十三）负责本部门营商环境建设工作。 </w:t>
        <w:br/>
        <w:t xml:space="preserve">    （十四）负责本部门权责清单和政务服务事项清单在区政府门户网站上公布工作。 </w:t>
        <w:br/>
        <w:t xml:space="preserve">    （十五）负责本部门定岗定责定流程工作。 </w:t>
        <w:br/>
        <w:t xml:space="preserve">    （十六）完成区委、区政府交办的其他任务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辽宁省沈阳市浑南区交通运输局（本级）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沈阳市浑南区交通运输局本级，本部门无下设机构。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5589.10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5520.40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98.77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5520.40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68.70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1.23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主要是上级财政补助收入结转等。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减少8199.01万元，降低59.46%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严格把控资金安排</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5520.40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1140.18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20.65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工资福利支出1034.10万元；商品和服务支出79.08万元；对个人和家庭的补助27.00万元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4380.22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79.35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主要包括工程款和疫情相关欠款等业务支出。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减少8199.01万元，降低59.76%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严格把控资金安排</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68.70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主要是上级财政补助收入结转等原因形成的结余。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上级财政补助收入本年未支付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5520.40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1140.18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4380.22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减少8009.20万元，降低59.20%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严格把控资金安排</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417.95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89.86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8420.26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2024年度一般公共预算财政拨款支出5520.40万元。按支出功能分类科目分，包括：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（1）一般公共服务支出（类）信访事务（款）信访业务（项）3.48万元,主要是信访维稳等支出，完成年初预算的100%，决算数与年初预算数存在差异的主要原因是完全按照年初预算安排，决算数与预算数无差异。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2.社会保障和就业支出192.18万元，具体包括：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14.96万元,主要是取暖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105.09万元,主要是机关人员养老保险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62.60万元,主要是机关人员职业年金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（4）社会保障和就业支出（类）抚恤（款）死亡抚恤（项）9.53万元,主要是遗属补助等支出，完成年初预算的100%，决算数与年初预算数存在差异的主要原因是完全按照年初预算安排，决算数与预算数无差异。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3.卫生健康支出257.11万元，具体包括：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重大公共卫生服务（项）211.89万元,主要是疫情期间欠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45.22万元,主要是机关人员医疗保险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4.交通运输支出4956.66万元，具体包括：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交通运输支出（类）公路水路运输（款）行政运行（项）791.80万元,主要是公路工程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交通运输支出（类）公路水路运输（款）一般行政管理事务（项）9.68万元,主要是办公经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交通运输支出（类）公路水路运输（款）公路建设（项）1555.99万元,主要是公路建设工程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（4）交通运输支出（类）公路水路运输（款）公路养护（项）20.93万元,主要是养护费用等支出，完成年初预算的100%，决算数与年初预算数存在差异的主要原因是完全按照年初预算安排，决算数与预算数无差异。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交通运输支出（类）公路水路运输（款）公路运输管理（项）13.15万元,主要是执法车运行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交通运输支出（类）公路水路运输（款）其他公路水路运输支出（项）2565.11万元,主要是公路工程建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5.住房保障支出110.99万元，具体包括：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110.99万元,主要是住房公积金等支出，完成年初预算的100%，决算数与年初预算数存在差异的主要原因是完全按照年初预算安排，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15.34</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56.81</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实际支出减少</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15.34</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无该项支出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无该项支出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无该项支出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无该项支出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15.34</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56.81</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实际运用中减少了执法车的使用</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比上年增加1.45万元，增长10.44%</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新购入执法车</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15.34</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主要用于执法车使用费等，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5</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1140.18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1061.10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79.08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79.08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比上年增加8.85万元，增长12.60%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有新招人员</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5</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4</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，其他用车主要是待报废车辆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具体而言，本年度我部门共组织对18个项目实施了绩效评价。从预算资金来源看，涉及一般公共预算的项目18个，涉及政府性基金预算的项目0个，涉及国有资本经营预算的项目0个。</w:t>
        <w:br/>
        <w:t xml:space="preserve">    上述评价工作共涉及财政资金1268.8万元。其中，一般公共预算资金1268.8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8个；得分在80分（含）至90分、等级为“良”的项目有1个；得分在60分（含）至80分、等级为“中”的项目有4个；得分在60分以下、等级为“差”的项目有5个。各项目自评发现，部分项目存在问题，如：可写预算执行进度偏慢、个别效益指标未能完全达成，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在全面自评的基础上，本部门选取了2个资金量大、社会关注度高、具有代表性的重点项目实施了部门重点评价。评价工作通过现场核查、数据采集分析等方式进行，确保了评价结果的客观性和公正性。</w:t>
        <w:br/>
        <w:t xml:space="preserve">    我部门组织对5个项目重点评价，结果显示，被评价项目整体绩效情况良好。其中：第一个重点项目为交通局防疫经费，涉及资金416.62万元，评价平均分为69分，评级情况为中；第二个重点项目为农村公路建设项目省补投资，涉及资金848.2万元，评价平均分为99.18分，评级情况为优。同时，评价也发现路长制公示牌更新、破损修复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16.交通运输支出（类）公路水路运输（款）行政运行（项）：反映行政单位（包括实行公务员管理的事业单位）的基本支出。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5,520.40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3.48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192.17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257.11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jc w:val="right"/>
            </w:pPr>
            <w:r>
              <w:rPr>
                <w:rFonts w:ascii="宋体" w:eastAsia="宋体" w:hAnsi="宋体" w:cs="宋体"/>
                <w:b w:val="0"/>
                <w:i w:val="0"/>
                <w:color w:val="000000"/>
                <w:sz w:val="16"/>
              </w:rPr>
              <w:t xml:space="preserve">4,956.65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110.99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5,520.40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5,520.40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68.70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68.70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5,589.10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5,589.10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5,520.40</w:t>
            </w:r>
          </w:p>
        </w:tc>
        <w:tc>
          <w:tcPr>
            <w:tcW w:w="960" w:type="dxa"/>
            <w:tcBorders/>
            <w:vAlign w:val="center"/>
          </w:tcPr>
          <w:p>
            <w:pPr>
              <w:jc w:val="right"/>
            </w:pPr>
            <w:r>
              <w:rPr>
                <w:rFonts w:ascii="宋体" w:eastAsia="宋体" w:hAnsi="宋体" w:cs="宋体"/>
                <w:b/>
                <w:i w:val="0"/>
                <w:color w:val="000000"/>
                <w:sz w:val="13"/>
              </w:rPr>
              <w:t xml:space="preserve">5,520.40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192.18</w:t>
            </w:r>
          </w:p>
        </w:tc>
        <w:tc>
          <w:tcPr>
            <w:tcW w:w="960" w:type="dxa"/>
            <w:tcBorders/>
            <w:vAlign w:val="center"/>
          </w:tcPr>
          <w:p>
            <w:pPr>
              <w:jc w:val="right"/>
            </w:pPr>
            <w:r>
              <w:rPr>
                <w:rFonts w:ascii="宋体" w:eastAsia="宋体" w:hAnsi="宋体" w:cs="宋体"/>
                <w:b w:val="0"/>
                <w:i w:val="0"/>
                <w:color w:val="000000"/>
                <w:sz w:val="13"/>
              </w:rPr>
              <w:t xml:space="preserve">192.18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182.65</w:t>
            </w:r>
          </w:p>
        </w:tc>
        <w:tc>
          <w:tcPr>
            <w:tcW w:w="960" w:type="dxa"/>
            <w:tcBorders/>
            <w:vAlign w:val="center"/>
          </w:tcPr>
          <w:p>
            <w:pPr>
              <w:jc w:val="right"/>
            </w:pPr>
            <w:r>
              <w:rPr>
                <w:rFonts w:ascii="宋体" w:eastAsia="宋体" w:hAnsi="宋体" w:cs="宋体"/>
                <w:b w:val="0"/>
                <w:i w:val="0"/>
                <w:color w:val="000000"/>
                <w:sz w:val="13"/>
              </w:rPr>
              <w:t xml:space="preserve">182.65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14.96</w:t>
            </w:r>
          </w:p>
        </w:tc>
        <w:tc>
          <w:tcPr>
            <w:tcW w:w="960" w:type="dxa"/>
            <w:tcBorders/>
            <w:vAlign w:val="center"/>
          </w:tcPr>
          <w:p>
            <w:pPr>
              <w:jc w:val="right"/>
            </w:pPr>
            <w:r>
              <w:rPr>
                <w:rFonts w:ascii="宋体" w:eastAsia="宋体" w:hAnsi="宋体" w:cs="宋体"/>
                <w:b w:val="0"/>
                <w:i w:val="0"/>
                <w:color w:val="000000"/>
                <w:sz w:val="13"/>
              </w:rPr>
              <w:t xml:space="preserve">14.96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105.09</w:t>
            </w:r>
          </w:p>
        </w:tc>
        <w:tc>
          <w:tcPr>
            <w:tcW w:w="960" w:type="dxa"/>
            <w:tcBorders/>
            <w:vAlign w:val="center"/>
          </w:tcPr>
          <w:p>
            <w:pPr>
              <w:jc w:val="right"/>
            </w:pPr>
            <w:r>
              <w:rPr>
                <w:rFonts w:ascii="宋体" w:eastAsia="宋体" w:hAnsi="宋体" w:cs="宋体"/>
                <w:b w:val="0"/>
                <w:i w:val="0"/>
                <w:color w:val="000000"/>
                <w:sz w:val="13"/>
              </w:rPr>
              <w:t xml:space="preserve">105.09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62.60</w:t>
            </w:r>
          </w:p>
        </w:tc>
        <w:tc>
          <w:tcPr>
            <w:tcW w:w="960" w:type="dxa"/>
            <w:tcBorders/>
            <w:vAlign w:val="center"/>
          </w:tcPr>
          <w:p>
            <w:pPr>
              <w:jc w:val="right"/>
            </w:pPr>
            <w:r>
              <w:rPr>
                <w:rFonts w:ascii="宋体" w:eastAsia="宋体" w:hAnsi="宋体" w:cs="宋体"/>
                <w:b w:val="0"/>
                <w:i w:val="0"/>
                <w:color w:val="000000"/>
                <w:sz w:val="13"/>
              </w:rPr>
              <w:t xml:space="preserve">62.60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9.53</w:t>
            </w:r>
          </w:p>
        </w:tc>
        <w:tc>
          <w:tcPr>
            <w:tcW w:w="960" w:type="dxa"/>
            <w:tcBorders/>
            <w:vAlign w:val="center"/>
          </w:tcPr>
          <w:p>
            <w:pPr>
              <w:jc w:val="right"/>
            </w:pPr>
            <w:r>
              <w:rPr>
                <w:rFonts w:ascii="宋体" w:eastAsia="宋体" w:hAnsi="宋体" w:cs="宋体"/>
                <w:b w:val="0"/>
                <w:i w:val="0"/>
                <w:color w:val="000000"/>
                <w:sz w:val="13"/>
              </w:rPr>
              <w:t xml:space="preserve">9.53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9.53</w:t>
            </w:r>
          </w:p>
        </w:tc>
        <w:tc>
          <w:tcPr>
            <w:tcW w:w="960" w:type="dxa"/>
            <w:tcBorders/>
            <w:vAlign w:val="center"/>
          </w:tcPr>
          <w:p>
            <w:pPr>
              <w:jc w:val="right"/>
            </w:pPr>
            <w:r>
              <w:rPr>
                <w:rFonts w:ascii="宋体" w:eastAsia="宋体" w:hAnsi="宋体" w:cs="宋体"/>
                <w:b w:val="0"/>
                <w:i w:val="0"/>
                <w:color w:val="000000"/>
                <w:sz w:val="13"/>
              </w:rPr>
              <w:t xml:space="preserve">9.53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257.11</w:t>
            </w:r>
          </w:p>
        </w:tc>
        <w:tc>
          <w:tcPr>
            <w:tcW w:w="960" w:type="dxa"/>
            <w:tcBorders/>
            <w:vAlign w:val="center"/>
          </w:tcPr>
          <w:p>
            <w:pPr>
              <w:jc w:val="right"/>
            </w:pPr>
            <w:r>
              <w:rPr>
                <w:rFonts w:ascii="宋体" w:eastAsia="宋体" w:hAnsi="宋体" w:cs="宋体"/>
                <w:b w:val="0"/>
                <w:i w:val="0"/>
                <w:color w:val="000000"/>
                <w:sz w:val="13"/>
              </w:rPr>
              <w:t xml:space="preserve">257.11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211.89</w:t>
            </w:r>
          </w:p>
        </w:tc>
        <w:tc>
          <w:tcPr>
            <w:tcW w:w="960" w:type="dxa"/>
            <w:tcBorders/>
            <w:vAlign w:val="center"/>
          </w:tcPr>
          <w:p>
            <w:pPr>
              <w:jc w:val="right"/>
            </w:pPr>
            <w:r>
              <w:rPr>
                <w:rFonts w:ascii="宋体" w:eastAsia="宋体" w:hAnsi="宋体" w:cs="宋体"/>
                <w:b w:val="0"/>
                <w:i w:val="0"/>
                <w:color w:val="000000"/>
                <w:sz w:val="13"/>
              </w:rPr>
              <w:t xml:space="preserve">211.89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211.89</w:t>
            </w:r>
          </w:p>
        </w:tc>
        <w:tc>
          <w:tcPr>
            <w:tcW w:w="960" w:type="dxa"/>
            <w:tcBorders/>
            <w:vAlign w:val="center"/>
          </w:tcPr>
          <w:p>
            <w:pPr>
              <w:jc w:val="right"/>
            </w:pPr>
            <w:r>
              <w:rPr>
                <w:rFonts w:ascii="宋体" w:eastAsia="宋体" w:hAnsi="宋体" w:cs="宋体"/>
                <w:b w:val="0"/>
                <w:i w:val="0"/>
                <w:color w:val="000000"/>
                <w:sz w:val="13"/>
              </w:rPr>
              <w:t xml:space="preserve">211.89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45.22</w:t>
            </w:r>
          </w:p>
        </w:tc>
        <w:tc>
          <w:tcPr>
            <w:tcW w:w="960" w:type="dxa"/>
            <w:tcBorders/>
            <w:vAlign w:val="center"/>
          </w:tcPr>
          <w:p>
            <w:pPr>
              <w:jc w:val="right"/>
            </w:pPr>
            <w:r>
              <w:rPr>
                <w:rFonts w:ascii="宋体" w:eastAsia="宋体" w:hAnsi="宋体" w:cs="宋体"/>
                <w:b w:val="0"/>
                <w:i w:val="0"/>
                <w:color w:val="000000"/>
                <w:sz w:val="13"/>
              </w:rPr>
              <w:t xml:space="preserve">45.22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45.22</w:t>
            </w:r>
          </w:p>
        </w:tc>
        <w:tc>
          <w:tcPr>
            <w:tcW w:w="960" w:type="dxa"/>
            <w:tcBorders/>
            <w:vAlign w:val="center"/>
          </w:tcPr>
          <w:p>
            <w:pPr>
              <w:jc w:val="right"/>
            </w:pPr>
            <w:r>
              <w:rPr>
                <w:rFonts w:ascii="宋体" w:eastAsia="宋体" w:hAnsi="宋体" w:cs="宋体"/>
                <w:b w:val="0"/>
                <w:i w:val="0"/>
                <w:color w:val="000000"/>
                <w:sz w:val="13"/>
              </w:rPr>
              <w:t xml:space="preserve">45.22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w:t>
            </w:r>
          </w:p>
        </w:tc>
        <w:tc>
          <w:tcPr>
            <w:tcW w:w="3200" w:type="dxa"/>
            <w:tcBorders/>
            <w:vAlign w:val="center"/>
          </w:tcPr>
          <w:p>
            <w:pPr>
              <w:jc w:val="left"/>
            </w:pPr>
            <w:r>
              <w:rPr>
                <w:rFonts w:ascii="宋体" w:eastAsia="宋体" w:hAnsi="宋体" w:cs="宋体"/>
                <w:b w:val="0"/>
                <w:i w:val="0"/>
                <w:color w:val="000000"/>
                <w:sz w:val="13"/>
              </w:rPr>
              <w:t xml:space="preserve">交通运输支出</w:t>
            </w:r>
          </w:p>
        </w:tc>
        <w:tc>
          <w:tcPr>
            <w:tcW w:w="960" w:type="dxa"/>
            <w:tcBorders/>
            <w:vAlign w:val="center"/>
          </w:tcPr>
          <w:p>
            <w:pPr>
              <w:jc w:val="right"/>
            </w:pPr>
            <w:r>
              <w:rPr>
                <w:rFonts w:ascii="宋体" w:eastAsia="宋体" w:hAnsi="宋体" w:cs="宋体"/>
                <w:b w:val="0"/>
                <w:i w:val="0"/>
                <w:color w:val="000000"/>
                <w:sz w:val="13"/>
              </w:rPr>
              <w:t xml:space="preserve">4,956.66</w:t>
            </w:r>
          </w:p>
        </w:tc>
        <w:tc>
          <w:tcPr>
            <w:tcW w:w="960" w:type="dxa"/>
            <w:tcBorders/>
            <w:vAlign w:val="center"/>
          </w:tcPr>
          <w:p>
            <w:pPr>
              <w:jc w:val="right"/>
            </w:pPr>
            <w:r>
              <w:rPr>
                <w:rFonts w:ascii="宋体" w:eastAsia="宋体" w:hAnsi="宋体" w:cs="宋体"/>
                <w:b w:val="0"/>
                <w:i w:val="0"/>
                <w:color w:val="000000"/>
                <w:sz w:val="13"/>
              </w:rPr>
              <w:t xml:space="preserve">4,956.66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w:t>
            </w:r>
          </w:p>
        </w:tc>
        <w:tc>
          <w:tcPr>
            <w:tcW w:w="3200" w:type="dxa"/>
            <w:tcBorders/>
            <w:vAlign w:val="center"/>
          </w:tcPr>
          <w:p>
            <w:pPr>
              <w:jc w:val="left"/>
            </w:pPr>
            <w:r>
              <w:rPr>
                <w:rFonts w:ascii="宋体" w:eastAsia="宋体" w:hAnsi="宋体" w:cs="宋体"/>
                <w:b w:val="0"/>
                <w:i w:val="0"/>
                <w:color w:val="000000"/>
                <w:sz w:val="13"/>
              </w:rPr>
              <w:t xml:space="preserve">公路水路运输</w:t>
            </w:r>
          </w:p>
        </w:tc>
        <w:tc>
          <w:tcPr>
            <w:tcW w:w="960" w:type="dxa"/>
            <w:tcBorders/>
            <w:vAlign w:val="center"/>
          </w:tcPr>
          <w:p>
            <w:pPr>
              <w:jc w:val="right"/>
            </w:pPr>
            <w:r>
              <w:rPr>
                <w:rFonts w:ascii="宋体" w:eastAsia="宋体" w:hAnsi="宋体" w:cs="宋体"/>
                <w:b w:val="0"/>
                <w:i w:val="0"/>
                <w:color w:val="000000"/>
                <w:sz w:val="13"/>
              </w:rPr>
              <w:t xml:space="preserve">4,956.66</w:t>
            </w:r>
          </w:p>
        </w:tc>
        <w:tc>
          <w:tcPr>
            <w:tcW w:w="960" w:type="dxa"/>
            <w:tcBorders/>
            <w:vAlign w:val="center"/>
          </w:tcPr>
          <w:p>
            <w:pPr>
              <w:jc w:val="right"/>
            </w:pPr>
            <w:r>
              <w:rPr>
                <w:rFonts w:ascii="宋体" w:eastAsia="宋体" w:hAnsi="宋体" w:cs="宋体"/>
                <w:b w:val="0"/>
                <w:i w:val="0"/>
                <w:color w:val="000000"/>
                <w:sz w:val="13"/>
              </w:rPr>
              <w:t xml:space="preserve">4,956.66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791.80</w:t>
            </w:r>
          </w:p>
        </w:tc>
        <w:tc>
          <w:tcPr>
            <w:tcW w:w="960" w:type="dxa"/>
            <w:tcBorders/>
            <w:vAlign w:val="center"/>
          </w:tcPr>
          <w:p>
            <w:pPr>
              <w:jc w:val="right"/>
            </w:pPr>
            <w:r>
              <w:rPr>
                <w:rFonts w:ascii="宋体" w:eastAsia="宋体" w:hAnsi="宋体" w:cs="宋体"/>
                <w:b w:val="0"/>
                <w:i w:val="0"/>
                <w:color w:val="000000"/>
                <w:sz w:val="13"/>
              </w:rPr>
              <w:t xml:space="preserve">791.80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9.68</w:t>
            </w:r>
          </w:p>
        </w:tc>
        <w:tc>
          <w:tcPr>
            <w:tcW w:w="960" w:type="dxa"/>
            <w:tcBorders/>
            <w:vAlign w:val="center"/>
          </w:tcPr>
          <w:p>
            <w:pPr>
              <w:jc w:val="right"/>
            </w:pPr>
            <w:r>
              <w:rPr>
                <w:rFonts w:ascii="宋体" w:eastAsia="宋体" w:hAnsi="宋体" w:cs="宋体"/>
                <w:b w:val="0"/>
                <w:i w:val="0"/>
                <w:color w:val="000000"/>
                <w:sz w:val="13"/>
              </w:rPr>
              <w:t xml:space="preserve">9.68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2140104</w:t>
            </w:r>
          </w:p>
        </w:tc>
        <w:tc>
          <w:tcPr>
            <w:tcW w:w="3200" w:type="dxa"/>
            <w:tcBorders/>
            <w:vAlign w:val="center"/>
          </w:tcPr>
          <w:p>
            <w:pPr>
              <w:jc w:val="left"/>
            </w:pPr>
            <w:r>
              <w:rPr>
                <w:rFonts w:ascii="宋体" w:eastAsia="宋体" w:hAnsi="宋体" w:cs="宋体"/>
                <w:b w:val="0"/>
                <w:i w:val="0"/>
                <w:color w:val="000000"/>
                <w:sz w:val="13"/>
              </w:rPr>
              <w:t xml:space="preserve">公路建设</w:t>
            </w:r>
          </w:p>
        </w:tc>
        <w:tc>
          <w:tcPr>
            <w:tcW w:w="960" w:type="dxa"/>
            <w:tcBorders/>
            <w:vAlign w:val="center"/>
          </w:tcPr>
          <w:p>
            <w:pPr>
              <w:jc w:val="right"/>
            </w:pPr>
            <w:r>
              <w:rPr>
                <w:rFonts w:ascii="宋体" w:eastAsia="宋体" w:hAnsi="宋体" w:cs="宋体"/>
                <w:b w:val="0"/>
                <w:i w:val="0"/>
                <w:color w:val="000000"/>
                <w:sz w:val="13"/>
              </w:rPr>
              <w:t xml:space="preserve">1,555.99</w:t>
            </w:r>
          </w:p>
        </w:tc>
        <w:tc>
          <w:tcPr>
            <w:tcW w:w="960" w:type="dxa"/>
            <w:tcBorders/>
            <w:vAlign w:val="center"/>
          </w:tcPr>
          <w:p>
            <w:pPr>
              <w:jc w:val="right"/>
            </w:pPr>
            <w:r>
              <w:rPr>
                <w:rFonts w:ascii="宋体" w:eastAsia="宋体" w:hAnsi="宋体" w:cs="宋体"/>
                <w:b w:val="0"/>
                <w:i w:val="0"/>
                <w:color w:val="000000"/>
                <w:sz w:val="13"/>
              </w:rPr>
              <w:t xml:space="preserve">1,555.99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2140106</w:t>
            </w:r>
          </w:p>
        </w:tc>
        <w:tc>
          <w:tcPr>
            <w:tcW w:w="3200" w:type="dxa"/>
            <w:tcBorders/>
            <w:vAlign w:val="center"/>
          </w:tcPr>
          <w:p>
            <w:pPr>
              <w:jc w:val="left"/>
            </w:pPr>
            <w:r>
              <w:rPr>
                <w:rFonts w:ascii="宋体" w:eastAsia="宋体" w:hAnsi="宋体" w:cs="宋体"/>
                <w:b w:val="0"/>
                <w:i w:val="0"/>
                <w:color w:val="000000"/>
                <w:sz w:val="13"/>
              </w:rPr>
              <w:t xml:space="preserve">公路养护</w:t>
            </w:r>
          </w:p>
        </w:tc>
        <w:tc>
          <w:tcPr>
            <w:tcW w:w="960" w:type="dxa"/>
            <w:tcBorders/>
            <w:vAlign w:val="center"/>
          </w:tcPr>
          <w:p>
            <w:pPr>
              <w:jc w:val="right"/>
            </w:pPr>
            <w:r>
              <w:rPr>
                <w:rFonts w:ascii="宋体" w:eastAsia="宋体" w:hAnsi="宋体" w:cs="宋体"/>
                <w:b w:val="0"/>
                <w:i w:val="0"/>
                <w:color w:val="000000"/>
                <w:sz w:val="13"/>
              </w:rPr>
              <w:t xml:space="preserve">20.93</w:t>
            </w:r>
          </w:p>
        </w:tc>
        <w:tc>
          <w:tcPr>
            <w:tcW w:w="960" w:type="dxa"/>
            <w:tcBorders/>
            <w:vAlign w:val="center"/>
          </w:tcPr>
          <w:p>
            <w:pPr>
              <w:jc w:val="right"/>
            </w:pPr>
            <w:r>
              <w:rPr>
                <w:rFonts w:ascii="宋体" w:eastAsia="宋体" w:hAnsi="宋体" w:cs="宋体"/>
                <w:b w:val="0"/>
                <w:i w:val="0"/>
                <w:color w:val="000000"/>
                <w:sz w:val="13"/>
              </w:rPr>
              <w:t xml:space="preserve">20.93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2140112</w:t>
            </w:r>
          </w:p>
        </w:tc>
        <w:tc>
          <w:tcPr>
            <w:tcW w:w="3200" w:type="dxa"/>
            <w:tcBorders/>
            <w:vAlign w:val="center"/>
          </w:tcPr>
          <w:p>
            <w:pPr>
              <w:jc w:val="left"/>
            </w:pPr>
            <w:r>
              <w:rPr>
                <w:rFonts w:ascii="宋体" w:eastAsia="宋体" w:hAnsi="宋体" w:cs="宋体"/>
                <w:b w:val="0"/>
                <w:i w:val="0"/>
                <w:color w:val="000000"/>
                <w:sz w:val="13"/>
              </w:rPr>
              <w:t xml:space="preserve">公路运输管理</w:t>
            </w:r>
          </w:p>
        </w:tc>
        <w:tc>
          <w:tcPr>
            <w:tcW w:w="960" w:type="dxa"/>
            <w:tcBorders/>
            <w:vAlign w:val="center"/>
          </w:tcPr>
          <w:p>
            <w:pPr>
              <w:jc w:val="right"/>
            </w:pPr>
            <w:r>
              <w:rPr>
                <w:rFonts w:ascii="宋体" w:eastAsia="宋体" w:hAnsi="宋体" w:cs="宋体"/>
                <w:b w:val="0"/>
                <w:i w:val="0"/>
                <w:color w:val="000000"/>
                <w:sz w:val="13"/>
              </w:rPr>
              <w:t xml:space="preserve">13.15</w:t>
            </w:r>
          </w:p>
        </w:tc>
        <w:tc>
          <w:tcPr>
            <w:tcW w:w="960" w:type="dxa"/>
            <w:tcBorders/>
            <w:vAlign w:val="center"/>
          </w:tcPr>
          <w:p>
            <w:pPr>
              <w:jc w:val="right"/>
            </w:pPr>
            <w:r>
              <w:rPr>
                <w:rFonts w:ascii="宋体" w:eastAsia="宋体" w:hAnsi="宋体" w:cs="宋体"/>
                <w:b w:val="0"/>
                <w:i w:val="0"/>
                <w:color w:val="000000"/>
                <w:sz w:val="13"/>
              </w:rPr>
              <w:t xml:space="preserve">13.15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2140199</w:t>
            </w:r>
          </w:p>
        </w:tc>
        <w:tc>
          <w:tcPr>
            <w:tcW w:w="3200" w:type="dxa"/>
            <w:tcBorders/>
            <w:vAlign w:val="center"/>
          </w:tcPr>
          <w:p>
            <w:pPr>
              <w:jc w:val="left"/>
            </w:pPr>
            <w:r>
              <w:rPr>
                <w:rFonts w:ascii="宋体" w:eastAsia="宋体" w:hAnsi="宋体" w:cs="宋体"/>
                <w:b w:val="0"/>
                <w:i w:val="0"/>
                <w:color w:val="000000"/>
                <w:sz w:val="13"/>
              </w:rPr>
              <w:t xml:space="preserve">其他公路水路运输支出</w:t>
            </w:r>
          </w:p>
        </w:tc>
        <w:tc>
          <w:tcPr>
            <w:tcW w:w="960" w:type="dxa"/>
            <w:tcBorders/>
            <w:vAlign w:val="center"/>
          </w:tcPr>
          <w:p>
            <w:pPr>
              <w:jc w:val="right"/>
            </w:pPr>
            <w:r>
              <w:rPr>
                <w:rFonts w:ascii="宋体" w:eastAsia="宋体" w:hAnsi="宋体" w:cs="宋体"/>
                <w:b w:val="0"/>
                <w:i w:val="0"/>
                <w:color w:val="000000"/>
                <w:sz w:val="13"/>
              </w:rPr>
              <w:t xml:space="preserve">2,565.11</w:t>
            </w:r>
          </w:p>
        </w:tc>
        <w:tc>
          <w:tcPr>
            <w:tcW w:w="960" w:type="dxa"/>
            <w:tcBorders/>
            <w:vAlign w:val="center"/>
          </w:tcPr>
          <w:p>
            <w:pPr>
              <w:jc w:val="right"/>
            </w:pPr>
            <w:r>
              <w:rPr>
                <w:rFonts w:ascii="宋体" w:eastAsia="宋体" w:hAnsi="宋体" w:cs="宋体"/>
                <w:b w:val="0"/>
                <w:i w:val="0"/>
                <w:color w:val="000000"/>
                <w:sz w:val="13"/>
              </w:rPr>
              <w:t xml:space="preserve">2,565.11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5,520.40</w:t>
            </w:r>
          </w:p>
        </w:tc>
        <w:tc>
          <w:tcPr>
            <w:tcW w:w="1060" w:type="dxa"/>
            <w:tcBorders/>
            <w:vAlign w:val="center"/>
          </w:tcPr>
          <w:p>
            <w:pPr>
              <w:jc w:val="right"/>
            </w:pPr>
            <w:r>
              <w:rPr>
                <w:rFonts w:ascii="宋体" w:eastAsia="宋体" w:hAnsi="宋体" w:cs="宋体"/>
                <w:b/>
                <w:i w:val="0"/>
                <w:color w:val="000000"/>
                <w:sz w:val="14"/>
              </w:rPr>
              <w:t xml:space="preserve">1,140.18</w:t>
            </w:r>
          </w:p>
        </w:tc>
        <w:tc>
          <w:tcPr>
            <w:tcW w:w="1060" w:type="dxa"/>
            <w:tcBorders/>
            <w:vAlign w:val="center"/>
          </w:tcPr>
          <w:p>
            <w:pPr>
              <w:jc w:val="right"/>
            </w:pPr>
            <w:r>
              <w:rPr>
                <w:rFonts w:ascii="宋体" w:eastAsia="宋体" w:hAnsi="宋体" w:cs="宋体"/>
                <w:b/>
                <w:i w:val="0"/>
                <w:color w:val="000000"/>
                <w:sz w:val="14"/>
              </w:rPr>
              <w:t xml:space="preserve">4,380.22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192.18</w:t>
            </w:r>
          </w:p>
        </w:tc>
        <w:tc>
          <w:tcPr>
            <w:tcW w:w="1060" w:type="dxa"/>
            <w:tcBorders/>
            <w:vAlign w:val="center"/>
          </w:tcPr>
          <w:p>
            <w:pPr>
              <w:jc w:val="right"/>
            </w:pPr>
            <w:r>
              <w:rPr>
                <w:rFonts w:ascii="宋体" w:eastAsia="宋体" w:hAnsi="宋体" w:cs="宋体"/>
                <w:b w:val="0"/>
                <w:i w:val="0"/>
                <w:color w:val="000000"/>
                <w:sz w:val="14"/>
              </w:rPr>
              <w:t xml:space="preserve">192.18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182.65</w:t>
            </w:r>
          </w:p>
        </w:tc>
        <w:tc>
          <w:tcPr>
            <w:tcW w:w="1060" w:type="dxa"/>
            <w:tcBorders/>
            <w:vAlign w:val="center"/>
          </w:tcPr>
          <w:p>
            <w:pPr>
              <w:jc w:val="right"/>
            </w:pPr>
            <w:r>
              <w:rPr>
                <w:rFonts w:ascii="宋体" w:eastAsia="宋体" w:hAnsi="宋体" w:cs="宋体"/>
                <w:b w:val="0"/>
                <w:i w:val="0"/>
                <w:color w:val="000000"/>
                <w:sz w:val="14"/>
              </w:rPr>
              <w:t xml:space="preserve">182.65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14.96</w:t>
            </w:r>
          </w:p>
        </w:tc>
        <w:tc>
          <w:tcPr>
            <w:tcW w:w="1060" w:type="dxa"/>
            <w:tcBorders/>
            <w:vAlign w:val="center"/>
          </w:tcPr>
          <w:p>
            <w:pPr>
              <w:jc w:val="right"/>
            </w:pPr>
            <w:r>
              <w:rPr>
                <w:rFonts w:ascii="宋体" w:eastAsia="宋体" w:hAnsi="宋体" w:cs="宋体"/>
                <w:b w:val="0"/>
                <w:i w:val="0"/>
                <w:color w:val="000000"/>
                <w:sz w:val="14"/>
              </w:rPr>
              <w:t xml:space="preserve">14.96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105.09</w:t>
            </w:r>
          </w:p>
        </w:tc>
        <w:tc>
          <w:tcPr>
            <w:tcW w:w="1060" w:type="dxa"/>
            <w:tcBorders/>
            <w:vAlign w:val="center"/>
          </w:tcPr>
          <w:p>
            <w:pPr>
              <w:jc w:val="right"/>
            </w:pPr>
            <w:r>
              <w:rPr>
                <w:rFonts w:ascii="宋体" w:eastAsia="宋体" w:hAnsi="宋体" w:cs="宋体"/>
                <w:b w:val="0"/>
                <w:i w:val="0"/>
                <w:color w:val="000000"/>
                <w:sz w:val="14"/>
              </w:rPr>
              <w:t xml:space="preserve">105.09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62.60</w:t>
            </w:r>
          </w:p>
        </w:tc>
        <w:tc>
          <w:tcPr>
            <w:tcW w:w="1060" w:type="dxa"/>
            <w:tcBorders/>
            <w:vAlign w:val="center"/>
          </w:tcPr>
          <w:p>
            <w:pPr>
              <w:jc w:val="right"/>
            </w:pPr>
            <w:r>
              <w:rPr>
                <w:rFonts w:ascii="宋体" w:eastAsia="宋体" w:hAnsi="宋体" w:cs="宋体"/>
                <w:b w:val="0"/>
                <w:i w:val="0"/>
                <w:color w:val="000000"/>
                <w:sz w:val="14"/>
              </w:rPr>
              <w:t xml:space="preserve">62.60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9.53</w:t>
            </w:r>
          </w:p>
        </w:tc>
        <w:tc>
          <w:tcPr>
            <w:tcW w:w="1060" w:type="dxa"/>
            <w:tcBorders/>
            <w:vAlign w:val="center"/>
          </w:tcPr>
          <w:p>
            <w:pPr>
              <w:jc w:val="right"/>
            </w:pPr>
            <w:r>
              <w:rPr>
                <w:rFonts w:ascii="宋体" w:eastAsia="宋体" w:hAnsi="宋体" w:cs="宋体"/>
                <w:b w:val="0"/>
                <w:i w:val="0"/>
                <w:color w:val="000000"/>
                <w:sz w:val="14"/>
              </w:rPr>
              <w:t xml:space="preserve">9.53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9.53</w:t>
            </w:r>
          </w:p>
        </w:tc>
        <w:tc>
          <w:tcPr>
            <w:tcW w:w="1060" w:type="dxa"/>
            <w:tcBorders/>
            <w:vAlign w:val="center"/>
          </w:tcPr>
          <w:p>
            <w:pPr>
              <w:jc w:val="right"/>
            </w:pPr>
            <w:r>
              <w:rPr>
                <w:rFonts w:ascii="宋体" w:eastAsia="宋体" w:hAnsi="宋体" w:cs="宋体"/>
                <w:b w:val="0"/>
                <w:i w:val="0"/>
                <w:color w:val="000000"/>
                <w:sz w:val="14"/>
              </w:rPr>
              <w:t xml:space="preserve">9.53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257.11</w:t>
            </w:r>
          </w:p>
        </w:tc>
        <w:tc>
          <w:tcPr>
            <w:tcW w:w="1060" w:type="dxa"/>
            <w:tcBorders/>
            <w:vAlign w:val="center"/>
          </w:tcPr>
          <w:p>
            <w:pPr>
              <w:jc w:val="right"/>
            </w:pPr>
            <w:r>
              <w:rPr>
                <w:rFonts w:ascii="宋体" w:eastAsia="宋体" w:hAnsi="宋体" w:cs="宋体"/>
                <w:b w:val="0"/>
                <w:i w:val="0"/>
                <w:color w:val="000000"/>
                <w:sz w:val="14"/>
              </w:rPr>
              <w:t xml:space="preserve">45.22</w:t>
            </w: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45.22</w:t>
            </w:r>
          </w:p>
        </w:tc>
        <w:tc>
          <w:tcPr>
            <w:tcW w:w="1060" w:type="dxa"/>
            <w:tcBorders/>
            <w:vAlign w:val="center"/>
          </w:tcPr>
          <w:p>
            <w:pPr>
              <w:jc w:val="right"/>
            </w:pPr>
            <w:r>
              <w:rPr>
                <w:rFonts w:ascii="宋体" w:eastAsia="宋体" w:hAnsi="宋体" w:cs="宋体"/>
                <w:b w:val="0"/>
                <w:i w:val="0"/>
                <w:color w:val="000000"/>
                <w:sz w:val="14"/>
              </w:rPr>
              <w:t xml:space="preserve">45.22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45.22</w:t>
            </w:r>
          </w:p>
        </w:tc>
        <w:tc>
          <w:tcPr>
            <w:tcW w:w="1060" w:type="dxa"/>
            <w:tcBorders/>
            <w:vAlign w:val="center"/>
          </w:tcPr>
          <w:p>
            <w:pPr>
              <w:jc w:val="right"/>
            </w:pPr>
            <w:r>
              <w:rPr>
                <w:rFonts w:ascii="宋体" w:eastAsia="宋体" w:hAnsi="宋体" w:cs="宋体"/>
                <w:b w:val="0"/>
                <w:i w:val="0"/>
                <w:color w:val="000000"/>
                <w:sz w:val="14"/>
              </w:rPr>
              <w:t xml:space="preserve">45.22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w:t>
            </w:r>
          </w:p>
        </w:tc>
        <w:tc>
          <w:tcPr>
            <w:tcW w:w="3440" w:type="dxa"/>
            <w:tcBorders/>
            <w:vAlign w:val="center"/>
          </w:tcPr>
          <w:p>
            <w:pPr>
              <w:jc w:val="left"/>
            </w:pPr>
            <w:r>
              <w:rPr>
                <w:rFonts w:ascii="宋体" w:eastAsia="宋体" w:hAnsi="宋体" w:cs="宋体"/>
                <w:b w:val="0"/>
                <w:i w:val="0"/>
                <w:color w:val="000000"/>
                <w:sz w:val="14"/>
              </w:rPr>
              <w:t xml:space="preserve">交通运输支出</w:t>
            </w:r>
          </w:p>
        </w:tc>
        <w:tc>
          <w:tcPr>
            <w:tcW w:w="1060" w:type="dxa"/>
            <w:tcBorders/>
            <w:vAlign w:val="center"/>
          </w:tcPr>
          <w:p>
            <w:pPr>
              <w:jc w:val="right"/>
            </w:pPr>
            <w:r>
              <w:rPr>
                <w:rFonts w:ascii="宋体" w:eastAsia="宋体" w:hAnsi="宋体" w:cs="宋体"/>
                <w:b w:val="0"/>
                <w:i w:val="0"/>
                <w:color w:val="000000"/>
                <w:sz w:val="14"/>
              </w:rPr>
              <w:t xml:space="preserve">4,956.66</w:t>
            </w:r>
          </w:p>
        </w:tc>
        <w:tc>
          <w:tcPr>
            <w:tcW w:w="1060" w:type="dxa"/>
            <w:tcBorders/>
            <w:vAlign w:val="center"/>
          </w:tcPr>
          <w:p>
            <w:pPr>
              <w:jc w:val="right"/>
            </w:pPr>
            <w:r>
              <w:rPr>
                <w:rFonts w:ascii="宋体" w:eastAsia="宋体" w:hAnsi="宋体" w:cs="宋体"/>
                <w:b w:val="0"/>
                <w:i w:val="0"/>
                <w:color w:val="000000"/>
                <w:sz w:val="14"/>
              </w:rPr>
              <w:t xml:space="preserve">791.80</w:t>
            </w:r>
          </w:p>
        </w:tc>
        <w:tc>
          <w:tcPr>
            <w:tcW w:w="1060" w:type="dxa"/>
            <w:tcBorders/>
            <w:vAlign w:val="center"/>
          </w:tcPr>
          <w:p>
            <w:pPr>
              <w:jc w:val="right"/>
            </w:pPr>
            <w:r>
              <w:rPr>
                <w:rFonts w:ascii="宋体" w:eastAsia="宋体" w:hAnsi="宋体" w:cs="宋体"/>
                <w:b w:val="0"/>
                <w:i w:val="0"/>
                <w:color w:val="000000"/>
                <w:sz w:val="14"/>
              </w:rPr>
              <w:t xml:space="preserve">4,164.86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w:t>
            </w:r>
          </w:p>
        </w:tc>
        <w:tc>
          <w:tcPr>
            <w:tcW w:w="3440" w:type="dxa"/>
            <w:tcBorders/>
            <w:vAlign w:val="center"/>
          </w:tcPr>
          <w:p>
            <w:pPr>
              <w:jc w:val="left"/>
            </w:pPr>
            <w:r>
              <w:rPr>
                <w:rFonts w:ascii="宋体" w:eastAsia="宋体" w:hAnsi="宋体" w:cs="宋体"/>
                <w:b w:val="0"/>
                <w:i w:val="0"/>
                <w:color w:val="000000"/>
                <w:sz w:val="14"/>
              </w:rPr>
              <w:t xml:space="preserve">公路水路运输</w:t>
            </w:r>
          </w:p>
        </w:tc>
        <w:tc>
          <w:tcPr>
            <w:tcW w:w="1060" w:type="dxa"/>
            <w:tcBorders/>
            <w:vAlign w:val="center"/>
          </w:tcPr>
          <w:p>
            <w:pPr>
              <w:jc w:val="right"/>
            </w:pPr>
            <w:r>
              <w:rPr>
                <w:rFonts w:ascii="宋体" w:eastAsia="宋体" w:hAnsi="宋体" w:cs="宋体"/>
                <w:b w:val="0"/>
                <w:i w:val="0"/>
                <w:color w:val="000000"/>
                <w:sz w:val="14"/>
              </w:rPr>
              <w:t xml:space="preserve">4,956.66</w:t>
            </w:r>
          </w:p>
        </w:tc>
        <w:tc>
          <w:tcPr>
            <w:tcW w:w="1060" w:type="dxa"/>
            <w:tcBorders/>
            <w:vAlign w:val="center"/>
          </w:tcPr>
          <w:p>
            <w:pPr>
              <w:jc w:val="right"/>
            </w:pPr>
            <w:r>
              <w:rPr>
                <w:rFonts w:ascii="宋体" w:eastAsia="宋体" w:hAnsi="宋体" w:cs="宋体"/>
                <w:b w:val="0"/>
                <w:i w:val="0"/>
                <w:color w:val="000000"/>
                <w:sz w:val="14"/>
              </w:rPr>
              <w:t xml:space="preserve">791.80</w:t>
            </w:r>
          </w:p>
        </w:tc>
        <w:tc>
          <w:tcPr>
            <w:tcW w:w="1060" w:type="dxa"/>
            <w:tcBorders/>
            <w:vAlign w:val="center"/>
          </w:tcPr>
          <w:p>
            <w:pPr>
              <w:jc w:val="right"/>
            </w:pPr>
            <w:r>
              <w:rPr>
                <w:rFonts w:ascii="宋体" w:eastAsia="宋体" w:hAnsi="宋体" w:cs="宋体"/>
                <w:b w:val="0"/>
                <w:i w:val="0"/>
                <w:color w:val="000000"/>
                <w:sz w:val="14"/>
              </w:rPr>
              <w:t xml:space="preserve">4,164.86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791.80</w:t>
            </w:r>
          </w:p>
        </w:tc>
        <w:tc>
          <w:tcPr>
            <w:tcW w:w="1060" w:type="dxa"/>
            <w:tcBorders/>
            <w:vAlign w:val="center"/>
          </w:tcPr>
          <w:p>
            <w:pPr>
              <w:jc w:val="right"/>
            </w:pPr>
            <w:r>
              <w:rPr>
                <w:rFonts w:ascii="宋体" w:eastAsia="宋体" w:hAnsi="宋体" w:cs="宋体"/>
                <w:b w:val="0"/>
                <w:i w:val="0"/>
                <w:color w:val="000000"/>
                <w:sz w:val="14"/>
              </w:rPr>
              <w:t xml:space="preserve">791.80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9.68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2140104</w:t>
            </w:r>
          </w:p>
        </w:tc>
        <w:tc>
          <w:tcPr>
            <w:tcW w:w="3440" w:type="dxa"/>
            <w:tcBorders/>
            <w:vAlign w:val="center"/>
          </w:tcPr>
          <w:p>
            <w:pPr>
              <w:jc w:val="left"/>
            </w:pPr>
            <w:r>
              <w:rPr>
                <w:rFonts w:ascii="宋体" w:eastAsia="宋体" w:hAnsi="宋体" w:cs="宋体"/>
                <w:b w:val="0"/>
                <w:i w:val="0"/>
                <w:color w:val="000000"/>
                <w:sz w:val="14"/>
              </w:rPr>
              <w:t xml:space="preserve">公路建设</w:t>
            </w:r>
          </w:p>
        </w:tc>
        <w:tc>
          <w:tcPr>
            <w:tcW w:w="1060" w:type="dxa"/>
            <w:tcBorders/>
            <w:vAlign w:val="center"/>
          </w:tcPr>
          <w:p>
            <w:pPr>
              <w:jc w:val="right"/>
            </w:pPr>
            <w:r>
              <w:rPr>
                <w:rFonts w:ascii="宋体" w:eastAsia="宋体" w:hAnsi="宋体" w:cs="宋体"/>
                <w:b w:val="0"/>
                <w:i w:val="0"/>
                <w:color w:val="000000"/>
                <w:sz w:val="14"/>
              </w:rPr>
              <w:t xml:space="preserve">1,555.99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1,555.99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2140106</w:t>
            </w:r>
          </w:p>
        </w:tc>
        <w:tc>
          <w:tcPr>
            <w:tcW w:w="3440" w:type="dxa"/>
            <w:tcBorders/>
            <w:vAlign w:val="center"/>
          </w:tcPr>
          <w:p>
            <w:pPr>
              <w:jc w:val="left"/>
            </w:pPr>
            <w:r>
              <w:rPr>
                <w:rFonts w:ascii="宋体" w:eastAsia="宋体" w:hAnsi="宋体" w:cs="宋体"/>
                <w:b w:val="0"/>
                <w:i w:val="0"/>
                <w:color w:val="000000"/>
                <w:sz w:val="14"/>
              </w:rPr>
              <w:t xml:space="preserve">公路养护</w:t>
            </w:r>
          </w:p>
        </w:tc>
        <w:tc>
          <w:tcPr>
            <w:tcW w:w="1060" w:type="dxa"/>
            <w:tcBorders/>
            <w:vAlign w:val="center"/>
          </w:tcPr>
          <w:p>
            <w:pPr>
              <w:jc w:val="right"/>
            </w:pPr>
            <w:r>
              <w:rPr>
                <w:rFonts w:ascii="宋体" w:eastAsia="宋体" w:hAnsi="宋体" w:cs="宋体"/>
                <w:b w:val="0"/>
                <w:i w:val="0"/>
                <w:color w:val="000000"/>
                <w:sz w:val="14"/>
              </w:rPr>
              <w:t xml:space="preserve">20.93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20.93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2140112</w:t>
            </w:r>
          </w:p>
        </w:tc>
        <w:tc>
          <w:tcPr>
            <w:tcW w:w="3440" w:type="dxa"/>
            <w:tcBorders/>
            <w:vAlign w:val="center"/>
          </w:tcPr>
          <w:p>
            <w:pPr>
              <w:jc w:val="left"/>
            </w:pPr>
            <w:r>
              <w:rPr>
                <w:rFonts w:ascii="宋体" w:eastAsia="宋体" w:hAnsi="宋体" w:cs="宋体"/>
                <w:b w:val="0"/>
                <w:i w:val="0"/>
                <w:color w:val="000000"/>
                <w:sz w:val="14"/>
              </w:rPr>
              <w:t xml:space="preserve">公路运输管理</w:t>
            </w:r>
          </w:p>
        </w:tc>
        <w:tc>
          <w:tcPr>
            <w:tcW w:w="1060" w:type="dxa"/>
            <w:tcBorders/>
            <w:vAlign w:val="center"/>
          </w:tcPr>
          <w:p>
            <w:pPr>
              <w:jc w:val="right"/>
            </w:pPr>
            <w:r>
              <w:rPr>
                <w:rFonts w:ascii="宋体" w:eastAsia="宋体" w:hAnsi="宋体" w:cs="宋体"/>
                <w:b w:val="0"/>
                <w:i w:val="0"/>
                <w:color w:val="000000"/>
                <w:sz w:val="14"/>
              </w:rPr>
              <w:t xml:space="preserve">13.15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2140199</w:t>
            </w:r>
          </w:p>
        </w:tc>
        <w:tc>
          <w:tcPr>
            <w:tcW w:w="3440" w:type="dxa"/>
            <w:tcBorders/>
            <w:vAlign w:val="center"/>
          </w:tcPr>
          <w:p>
            <w:pPr>
              <w:jc w:val="left"/>
            </w:pPr>
            <w:r>
              <w:rPr>
                <w:rFonts w:ascii="宋体" w:eastAsia="宋体" w:hAnsi="宋体" w:cs="宋体"/>
                <w:b w:val="0"/>
                <w:i w:val="0"/>
                <w:color w:val="000000"/>
                <w:sz w:val="14"/>
              </w:rPr>
              <w:t xml:space="preserve">其他公路水路运输支出</w:t>
            </w:r>
          </w:p>
        </w:tc>
        <w:tc>
          <w:tcPr>
            <w:tcW w:w="1060" w:type="dxa"/>
            <w:tcBorders/>
            <w:vAlign w:val="center"/>
          </w:tcPr>
          <w:p>
            <w:pPr>
              <w:jc w:val="right"/>
            </w:pPr>
            <w:r>
              <w:rPr>
                <w:rFonts w:ascii="宋体" w:eastAsia="宋体" w:hAnsi="宋体" w:cs="宋体"/>
                <w:b w:val="0"/>
                <w:i w:val="0"/>
                <w:color w:val="000000"/>
                <w:sz w:val="14"/>
              </w:rPr>
              <w:t xml:space="preserve">2,565.11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2,565.11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5,520.40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3.48</w:t>
            </w:r>
          </w:p>
        </w:tc>
        <w:tc>
          <w:tcPr>
            <w:tcW w:w="1100" w:type="dxa"/>
            <w:tcBorders/>
            <w:vAlign w:val="center"/>
          </w:tcPr>
          <w:p>
            <w:pPr>
              <w:jc w:val="right"/>
            </w:pPr>
            <w:r>
              <w:rPr>
                <w:rFonts w:ascii="宋体" w:eastAsia="宋体" w:hAnsi="宋体" w:cs="宋体"/>
                <w:b w:val="0"/>
                <w:i w:val="0"/>
                <w:color w:val="000000"/>
                <w:sz w:val="14"/>
              </w:rPr>
              <w:t xml:space="preserve">3.48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192.17</w:t>
            </w:r>
          </w:p>
        </w:tc>
        <w:tc>
          <w:tcPr>
            <w:tcW w:w="1100" w:type="dxa"/>
            <w:tcBorders/>
            <w:vAlign w:val="center"/>
          </w:tcPr>
          <w:p>
            <w:pPr>
              <w:jc w:val="right"/>
            </w:pPr>
            <w:r>
              <w:rPr>
                <w:rFonts w:ascii="宋体" w:eastAsia="宋体" w:hAnsi="宋体" w:cs="宋体"/>
                <w:b w:val="0"/>
                <w:i w:val="0"/>
                <w:color w:val="000000"/>
                <w:sz w:val="14"/>
              </w:rPr>
              <w:t xml:space="preserve">192.17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257.11</w:t>
            </w:r>
          </w:p>
        </w:tc>
        <w:tc>
          <w:tcPr>
            <w:tcW w:w="1100" w:type="dxa"/>
            <w:tcBorders/>
            <w:vAlign w:val="center"/>
          </w:tcPr>
          <w:p>
            <w:pPr>
              <w:jc w:val="right"/>
            </w:pPr>
            <w:r>
              <w:rPr>
                <w:rFonts w:ascii="宋体" w:eastAsia="宋体" w:hAnsi="宋体" w:cs="宋体"/>
                <w:b w:val="0"/>
                <w:i w:val="0"/>
                <w:color w:val="000000"/>
                <w:sz w:val="14"/>
              </w:rPr>
              <w:t xml:space="preserve">257.11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jc w:val="right"/>
            </w:pPr>
            <w:r>
              <w:rPr>
                <w:rFonts w:ascii="宋体" w:eastAsia="宋体" w:hAnsi="宋体" w:cs="宋体"/>
                <w:b w:val="0"/>
                <w:i w:val="0"/>
                <w:color w:val="000000"/>
                <w:sz w:val="14"/>
              </w:rPr>
              <w:t xml:space="preserve">4,956.65</w:t>
            </w:r>
          </w:p>
        </w:tc>
        <w:tc>
          <w:tcPr>
            <w:tcW w:w="1100" w:type="dxa"/>
            <w:tcBorders/>
            <w:vAlign w:val="center"/>
          </w:tcPr>
          <w:p>
            <w:pPr>
              <w:jc w:val="right"/>
            </w:pPr>
            <w:r>
              <w:rPr>
                <w:rFonts w:ascii="宋体" w:eastAsia="宋体" w:hAnsi="宋体" w:cs="宋体"/>
                <w:b w:val="0"/>
                <w:i w:val="0"/>
                <w:color w:val="000000"/>
                <w:sz w:val="14"/>
              </w:rPr>
              <w:t xml:space="preserve">4,956.65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110.99</w:t>
            </w:r>
          </w:p>
        </w:tc>
        <w:tc>
          <w:tcPr>
            <w:tcW w:w="1100" w:type="dxa"/>
            <w:tcBorders/>
            <w:vAlign w:val="center"/>
          </w:tcPr>
          <w:p>
            <w:pPr>
              <w:jc w:val="right"/>
            </w:pPr>
            <w:r>
              <w:rPr>
                <w:rFonts w:ascii="宋体" w:eastAsia="宋体" w:hAnsi="宋体" w:cs="宋体"/>
                <w:b w:val="0"/>
                <w:i w:val="0"/>
                <w:color w:val="000000"/>
                <w:sz w:val="14"/>
              </w:rPr>
              <w:t xml:space="preserve">110.99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5,520.40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5,520.40</w:t>
            </w:r>
          </w:p>
        </w:tc>
        <w:tc>
          <w:tcPr>
            <w:tcW w:w="1100" w:type="dxa"/>
            <w:tcBorders/>
            <w:vAlign w:val="center"/>
          </w:tcPr>
          <w:p>
            <w:pPr>
              <w:jc w:val="right"/>
            </w:pPr>
            <w:r>
              <w:rPr>
                <w:rFonts w:ascii="宋体" w:eastAsia="宋体" w:hAnsi="宋体" w:cs="宋体"/>
                <w:b w:val="0"/>
                <w:i w:val="0"/>
                <w:color w:val="000000"/>
                <w:sz w:val="14"/>
              </w:rPr>
              <w:t xml:space="preserve">5,520.40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5,520.40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5,520.40</w:t>
            </w:r>
          </w:p>
        </w:tc>
        <w:tc>
          <w:tcPr>
            <w:tcW w:w="1100" w:type="dxa"/>
            <w:tcBorders/>
            <w:vAlign w:val="center"/>
          </w:tcPr>
          <w:p>
            <w:pPr>
              <w:jc w:val="right"/>
            </w:pPr>
            <w:r>
              <w:rPr>
                <w:rFonts w:ascii="宋体" w:eastAsia="宋体" w:hAnsi="宋体" w:cs="宋体"/>
                <w:b w:val="0"/>
                <w:i w:val="0"/>
                <w:color w:val="000000"/>
                <w:sz w:val="14"/>
              </w:rPr>
              <w:t xml:space="preserve">5,520.40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5,520.40</w:t>
            </w:r>
          </w:p>
        </w:tc>
        <w:tc>
          <w:tcPr>
            <w:tcW w:w="1780" w:type="dxa"/>
            <w:tcBorders/>
            <w:vAlign w:val="center"/>
          </w:tcPr>
          <w:p>
            <w:pPr>
              <w:jc w:val="right"/>
            </w:pPr>
            <w:r>
              <w:rPr>
                <w:rFonts w:ascii="宋体" w:eastAsia="宋体" w:hAnsi="宋体" w:cs="宋体"/>
                <w:b/>
                <w:i w:val="0"/>
                <w:color w:val="000000"/>
                <w:sz w:val="18"/>
              </w:rPr>
              <w:t xml:space="preserve">1,140.18</w:t>
            </w:r>
          </w:p>
        </w:tc>
        <w:tc>
          <w:tcPr>
            <w:tcW w:w="1772" w:type="dxa"/>
            <w:tcBorders/>
            <w:vAlign w:val="center"/>
          </w:tcPr>
          <w:p>
            <w:pPr>
              <w:jc w:val="right"/>
            </w:pPr>
            <w:r>
              <w:rPr>
                <w:rFonts w:ascii="宋体" w:eastAsia="宋体" w:hAnsi="宋体" w:cs="宋体"/>
                <w:b/>
                <w:i w:val="0"/>
                <w:color w:val="000000"/>
                <w:sz w:val="18"/>
              </w:rPr>
              <w:t xml:space="preserve">4,380.22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3.48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3.48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192.18</w:t>
            </w:r>
          </w:p>
        </w:tc>
        <w:tc>
          <w:tcPr>
            <w:tcW w:w="1780" w:type="dxa"/>
            <w:tcBorders/>
            <w:vAlign w:val="center"/>
          </w:tcPr>
          <w:p>
            <w:pPr>
              <w:jc w:val="right"/>
            </w:pPr>
            <w:r>
              <w:rPr>
                <w:rFonts w:ascii="宋体" w:eastAsia="宋体" w:hAnsi="宋体" w:cs="宋体"/>
                <w:b w:val="0"/>
                <w:i w:val="0"/>
                <w:color w:val="000000"/>
                <w:sz w:val="18"/>
              </w:rPr>
              <w:t xml:space="preserve">192.18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182.65</w:t>
            </w:r>
          </w:p>
        </w:tc>
        <w:tc>
          <w:tcPr>
            <w:tcW w:w="1780" w:type="dxa"/>
            <w:tcBorders/>
            <w:vAlign w:val="center"/>
          </w:tcPr>
          <w:p>
            <w:pPr>
              <w:jc w:val="right"/>
            </w:pPr>
            <w:r>
              <w:rPr>
                <w:rFonts w:ascii="宋体" w:eastAsia="宋体" w:hAnsi="宋体" w:cs="宋体"/>
                <w:b w:val="0"/>
                <w:i w:val="0"/>
                <w:color w:val="000000"/>
                <w:sz w:val="18"/>
              </w:rPr>
              <w:t xml:space="preserve">182.65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14.96</w:t>
            </w:r>
          </w:p>
        </w:tc>
        <w:tc>
          <w:tcPr>
            <w:tcW w:w="1780" w:type="dxa"/>
            <w:tcBorders/>
            <w:vAlign w:val="center"/>
          </w:tcPr>
          <w:p>
            <w:pPr>
              <w:jc w:val="right"/>
            </w:pPr>
            <w:r>
              <w:rPr>
                <w:rFonts w:ascii="宋体" w:eastAsia="宋体" w:hAnsi="宋体" w:cs="宋体"/>
                <w:b w:val="0"/>
                <w:i w:val="0"/>
                <w:color w:val="000000"/>
                <w:sz w:val="18"/>
              </w:rPr>
              <w:t xml:space="preserve">14.96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105.09</w:t>
            </w:r>
          </w:p>
        </w:tc>
        <w:tc>
          <w:tcPr>
            <w:tcW w:w="1780" w:type="dxa"/>
            <w:tcBorders/>
            <w:vAlign w:val="center"/>
          </w:tcPr>
          <w:p>
            <w:pPr>
              <w:jc w:val="right"/>
            </w:pPr>
            <w:r>
              <w:rPr>
                <w:rFonts w:ascii="宋体" w:eastAsia="宋体" w:hAnsi="宋体" w:cs="宋体"/>
                <w:b w:val="0"/>
                <w:i w:val="0"/>
                <w:color w:val="000000"/>
                <w:sz w:val="18"/>
              </w:rPr>
              <w:t xml:space="preserve">105.09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62.60</w:t>
            </w:r>
          </w:p>
        </w:tc>
        <w:tc>
          <w:tcPr>
            <w:tcW w:w="1780" w:type="dxa"/>
            <w:tcBorders/>
            <w:vAlign w:val="center"/>
          </w:tcPr>
          <w:p>
            <w:pPr>
              <w:jc w:val="right"/>
            </w:pPr>
            <w:r>
              <w:rPr>
                <w:rFonts w:ascii="宋体" w:eastAsia="宋体" w:hAnsi="宋体" w:cs="宋体"/>
                <w:b w:val="0"/>
                <w:i w:val="0"/>
                <w:color w:val="000000"/>
                <w:sz w:val="18"/>
              </w:rPr>
              <w:t xml:space="preserve">62.60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9.53</w:t>
            </w:r>
          </w:p>
        </w:tc>
        <w:tc>
          <w:tcPr>
            <w:tcW w:w="1780" w:type="dxa"/>
            <w:tcBorders/>
            <w:vAlign w:val="center"/>
          </w:tcPr>
          <w:p>
            <w:pPr>
              <w:jc w:val="right"/>
            </w:pPr>
            <w:r>
              <w:rPr>
                <w:rFonts w:ascii="宋体" w:eastAsia="宋体" w:hAnsi="宋体" w:cs="宋体"/>
                <w:b w:val="0"/>
                <w:i w:val="0"/>
                <w:color w:val="000000"/>
                <w:sz w:val="18"/>
              </w:rPr>
              <w:t xml:space="preserve">9.53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9.53</w:t>
            </w:r>
          </w:p>
        </w:tc>
        <w:tc>
          <w:tcPr>
            <w:tcW w:w="1780" w:type="dxa"/>
            <w:tcBorders/>
            <w:vAlign w:val="center"/>
          </w:tcPr>
          <w:p>
            <w:pPr>
              <w:jc w:val="right"/>
            </w:pPr>
            <w:r>
              <w:rPr>
                <w:rFonts w:ascii="宋体" w:eastAsia="宋体" w:hAnsi="宋体" w:cs="宋体"/>
                <w:b w:val="0"/>
                <w:i w:val="0"/>
                <w:color w:val="000000"/>
                <w:sz w:val="18"/>
              </w:rPr>
              <w:t xml:space="preserve">9.53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257.11</w:t>
            </w:r>
          </w:p>
        </w:tc>
        <w:tc>
          <w:tcPr>
            <w:tcW w:w="1780" w:type="dxa"/>
            <w:tcBorders/>
            <w:vAlign w:val="center"/>
          </w:tcPr>
          <w:p>
            <w:pPr>
              <w:jc w:val="right"/>
            </w:pPr>
            <w:r>
              <w:rPr>
                <w:rFonts w:ascii="宋体" w:eastAsia="宋体" w:hAnsi="宋体" w:cs="宋体"/>
                <w:b w:val="0"/>
                <w:i w:val="0"/>
                <w:color w:val="000000"/>
                <w:sz w:val="18"/>
              </w:rPr>
              <w:t xml:space="preserve">45.22</w:t>
            </w:r>
          </w:p>
        </w:tc>
        <w:tc>
          <w:tcPr>
            <w:tcW w:w="1772" w:type="dxa"/>
            <w:tcBorders/>
            <w:vAlign w:val="center"/>
          </w:tcPr>
          <w:p>
            <w:pPr>
              <w:jc w:val="right"/>
            </w:pPr>
            <w:r>
              <w:rPr>
                <w:rFonts w:ascii="宋体" w:eastAsia="宋体" w:hAnsi="宋体" w:cs="宋体"/>
                <w:b w:val="0"/>
                <w:i w:val="0"/>
                <w:color w:val="000000"/>
                <w:sz w:val="18"/>
              </w:rPr>
              <w:t xml:space="preserve">211.89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211.89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211.89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211.89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211.89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45.22</w:t>
            </w:r>
          </w:p>
        </w:tc>
        <w:tc>
          <w:tcPr>
            <w:tcW w:w="1780" w:type="dxa"/>
            <w:tcBorders/>
            <w:vAlign w:val="center"/>
          </w:tcPr>
          <w:p>
            <w:pPr>
              <w:jc w:val="right"/>
            </w:pPr>
            <w:r>
              <w:rPr>
                <w:rFonts w:ascii="宋体" w:eastAsia="宋体" w:hAnsi="宋体" w:cs="宋体"/>
                <w:b w:val="0"/>
                <w:i w:val="0"/>
                <w:color w:val="000000"/>
                <w:sz w:val="18"/>
              </w:rPr>
              <w:t xml:space="preserve">45.22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45.22</w:t>
            </w:r>
          </w:p>
        </w:tc>
        <w:tc>
          <w:tcPr>
            <w:tcW w:w="1780" w:type="dxa"/>
            <w:tcBorders/>
            <w:vAlign w:val="center"/>
          </w:tcPr>
          <w:p>
            <w:pPr>
              <w:jc w:val="right"/>
            </w:pPr>
            <w:r>
              <w:rPr>
                <w:rFonts w:ascii="宋体" w:eastAsia="宋体" w:hAnsi="宋体" w:cs="宋体"/>
                <w:b w:val="0"/>
                <w:i w:val="0"/>
                <w:color w:val="000000"/>
                <w:sz w:val="18"/>
              </w:rPr>
              <w:t xml:space="preserve">45.22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w:t>
            </w:r>
          </w:p>
        </w:tc>
        <w:tc>
          <w:tcPr>
            <w:tcW w:w="4300" w:type="dxa"/>
            <w:tcBorders/>
            <w:vAlign w:val="center"/>
          </w:tcPr>
          <w:p>
            <w:pPr>
              <w:jc w:val="left"/>
            </w:pPr>
            <w:r>
              <w:rPr>
                <w:rFonts w:ascii="宋体" w:eastAsia="宋体" w:hAnsi="宋体" w:cs="宋体"/>
                <w:b w:val="0"/>
                <w:i w:val="0"/>
                <w:color w:val="000000"/>
                <w:sz w:val="18"/>
              </w:rPr>
              <w:t xml:space="preserve">交通运输支出</w:t>
            </w:r>
          </w:p>
        </w:tc>
        <w:tc>
          <w:tcPr>
            <w:tcW w:w="1780" w:type="dxa"/>
            <w:tcBorders/>
            <w:vAlign w:val="center"/>
          </w:tcPr>
          <w:p>
            <w:pPr>
              <w:jc w:val="right"/>
            </w:pPr>
            <w:r>
              <w:rPr>
                <w:rFonts w:ascii="宋体" w:eastAsia="宋体" w:hAnsi="宋体" w:cs="宋体"/>
                <w:b w:val="0"/>
                <w:i w:val="0"/>
                <w:color w:val="000000"/>
                <w:sz w:val="18"/>
              </w:rPr>
              <w:t xml:space="preserve">4,956.66</w:t>
            </w:r>
          </w:p>
        </w:tc>
        <w:tc>
          <w:tcPr>
            <w:tcW w:w="1780" w:type="dxa"/>
            <w:tcBorders/>
            <w:vAlign w:val="center"/>
          </w:tcPr>
          <w:p>
            <w:pPr>
              <w:jc w:val="right"/>
            </w:pPr>
            <w:r>
              <w:rPr>
                <w:rFonts w:ascii="宋体" w:eastAsia="宋体" w:hAnsi="宋体" w:cs="宋体"/>
                <w:b w:val="0"/>
                <w:i w:val="0"/>
                <w:color w:val="000000"/>
                <w:sz w:val="18"/>
              </w:rPr>
              <w:t xml:space="preserve">791.80</w:t>
            </w:r>
          </w:p>
        </w:tc>
        <w:tc>
          <w:tcPr>
            <w:tcW w:w="1772" w:type="dxa"/>
            <w:tcBorders/>
            <w:vAlign w:val="center"/>
          </w:tcPr>
          <w:p>
            <w:pPr>
              <w:jc w:val="right"/>
            </w:pPr>
            <w:r>
              <w:rPr>
                <w:rFonts w:ascii="宋体" w:eastAsia="宋体" w:hAnsi="宋体" w:cs="宋体"/>
                <w:b w:val="0"/>
                <w:i w:val="0"/>
                <w:color w:val="000000"/>
                <w:sz w:val="18"/>
              </w:rPr>
              <w:t xml:space="preserve">4,164.86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w:t>
            </w:r>
          </w:p>
        </w:tc>
        <w:tc>
          <w:tcPr>
            <w:tcW w:w="4300" w:type="dxa"/>
            <w:tcBorders/>
            <w:vAlign w:val="center"/>
          </w:tcPr>
          <w:p>
            <w:pPr>
              <w:jc w:val="left"/>
            </w:pPr>
            <w:r>
              <w:rPr>
                <w:rFonts w:ascii="宋体" w:eastAsia="宋体" w:hAnsi="宋体" w:cs="宋体"/>
                <w:b w:val="0"/>
                <w:i w:val="0"/>
                <w:color w:val="000000"/>
                <w:sz w:val="18"/>
              </w:rPr>
              <w:t xml:space="preserve">公路水路运输</w:t>
            </w:r>
          </w:p>
        </w:tc>
        <w:tc>
          <w:tcPr>
            <w:tcW w:w="1780" w:type="dxa"/>
            <w:tcBorders/>
            <w:vAlign w:val="center"/>
          </w:tcPr>
          <w:p>
            <w:pPr>
              <w:jc w:val="right"/>
            </w:pPr>
            <w:r>
              <w:rPr>
                <w:rFonts w:ascii="宋体" w:eastAsia="宋体" w:hAnsi="宋体" w:cs="宋体"/>
                <w:b w:val="0"/>
                <w:i w:val="0"/>
                <w:color w:val="000000"/>
                <w:sz w:val="18"/>
              </w:rPr>
              <w:t xml:space="preserve">4,956.66</w:t>
            </w:r>
          </w:p>
        </w:tc>
        <w:tc>
          <w:tcPr>
            <w:tcW w:w="1780" w:type="dxa"/>
            <w:tcBorders/>
            <w:vAlign w:val="center"/>
          </w:tcPr>
          <w:p>
            <w:pPr>
              <w:jc w:val="right"/>
            </w:pPr>
            <w:r>
              <w:rPr>
                <w:rFonts w:ascii="宋体" w:eastAsia="宋体" w:hAnsi="宋体" w:cs="宋体"/>
                <w:b w:val="0"/>
                <w:i w:val="0"/>
                <w:color w:val="000000"/>
                <w:sz w:val="18"/>
              </w:rPr>
              <w:t xml:space="preserve">791.80</w:t>
            </w:r>
          </w:p>
        </w:tc>
        <w:tc>
          <w:tcPr>
            <w:tcW w:w="1772" w:type="dxa"/>
            <w:tcBorders/>
            <w:vAlign w:val="center"/>
          </w:tcPr>
          <w:p>
            <w:pPr>
              <w:jc w:val="right"/>
            </w:pPr>
            <w:r>
              <w:rPr>
                <w:rFonts w:ascii="宋体" w:eastAsia="宋体" w:hAnsi="宋体" w:cs="宋体"/>
                <w:b w:val="0"/>
                <w:i w:val="0"/>
                <w:color w:val="000000"/>
                <w:sz w:val="18"/>
              </w:rPr>
              <w:t xml:space="preserve">4,164.86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791.80</w:t>
            </w:r>
          </w:p>
        </w:tc>
        <w:tc>
          <w:tcPr>
            <w:tcW w:w="1780" w:type="dxa"/>
            <w:tcBorders/>
            <w:vAlign w:val="center"/>
          </w:tcPr>
          <w:p>
            <w:pPr>
              <w:jc w:val="right"/>
            </w:pPr>
            <w:r>
              <w:rPr>
                <w:rFonts w:ascii="宋体" w:eastAsia="宋体" w:hAnsi="宋体" w:cs="宋体"/>
                <w:b w:val="0"/>
                <w:i w:val="0"/>
                <w:color w:val="000000"/>
                <w:sz w:val="18"/>
              </w:rPr>
              <w:t xml:space="preserve">791.80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9.68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2140104</w:t>
            </w:r>
          </w:p>
        </w:tc>
        <w:tc>
          <w:tcPr>
            <w:tcW w:w="4300" w:type="dxa"/>
            <w:tcBorders/>
            <w:vAlign w:val="center"/>
          </w:tcPr>
          <w:p>
            <w:pPr>
              <w:jc w:val="left"/>
            </w:pPr>
            <w:r>
              <w:rPr>
                <w:rFonts w:ascii="宋体" w:eastAsia="宋体" w:hAnsi="宋体" w:cs="宋体"/>
                <w:b w:val="0"/>
                <w:i w:val="0"/>
                <w:color w:val="000000"/>
                <w:sz w:val="18"/>
              </w:rPr>
              <w:t xml:space="preserve">公路建设</w:t>
            </w:r>
          </w:p>
        </w:tc>
        <w:tc>
          <w:tcPr>
            <w:tcW w:w="1780" w:type="dxa"/>
            <w:tcBorders/>
            <w:vAlign w:val="center"/>
          </w:tcPr>
          <w:p>
            <w:pPr>
              <w:jc w:val="right"/>
            </w:pPr>
            <w:r>
              <w:rPr>
                <w:rFonts w:ascii="宋体" w:eastAsia="宋体" w:hAnsi="宋体" w:cs="宋体"/>
                <w:b w:val="0"/>
                <w:i w:val="0"/>
                <w:color w:val="000000"/>
                <w:sz w:val="18"/>
              </w:rPr>
              <w:t xml:space="preserve">1,555.99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1,555.99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2140106</w:t>
            </w:r>
          </w:p>
        </w:tc>
        <w:tc>
          <w:tcPr>
            <w:tcW w:w="4300" w:type="dxa"/>
            <w:tcBorders/>
            <w:vAlign w:val="center"/>
          </w:tcPr>
          <w:p>
            <w:pPr>
              <w:jc w:val="left"/>
            </w:pPr>
            <w:r>
              <w:rPr>
                <w:rFonts w:ascii="宋体" w:eastAsia="宋体" w:hAnsi="宋体" w:cs="宋体"/>
                <w:b w:val="0"/>
                <w:i w:val="0"/>
                <w:color w:val="000000"/>
                <w:sz w:val="18"/>
              </w:rPr>
              <w:t xml:space="preserve">公路养护</w:t>
            </w:r>
          </w:p>
        </w:tc>
        <w:tc>
          <w:tcPr>
            <w:tcW w:w="1780" w:type="dxa"/>
            <w:tcBorders/>
            <w:vAlign w:val="center"/>
          </w:tcPr>
          <w:p>
            <w:pPr>
              <w:jc w:val="right"/>
            </w:pPr>
            <w:r>
              <w:rPr>
                <w:rFonts w:ascii="宋体" w:eastAsia="宋体" w:hAnsi="宋体" w:cs="宋体"/>
                <w:b w:val="0"/>
                <w:i w:val="0"/>
                <w:color w:val="000000"/>
                <w:sz w:val="18"/>
              </w:rPr>
              <w:t xml:space="preserve">20.93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20.93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2140112</w:t>
            </w:r>
          </w:p>
        </w:tc>
        <w:tc>
          <w:tcPr>
            <w:tcW w:w="4300" w:type="dxa"/>
            <w:tcBorders/>
            <w:vAlign w:val="center"/>
          </w:tcPr>
          <w:p>
            <w:pPr>
              <w:jc w:val="left"/>
            </w:pPr>
            <w:r>
              <w:rPr>
                <w:rFonts w:ascii="宋体" w:eastAsia="宋体" w:hAnsi="宋体" w:cs="宋体"/>
                <w:b w:val="0"/>
                <w:i w:val="0"/>
                <w:color w:val="000000"/>
                <w:sz w:val="18"/>
              </w:rPr>
              <w:t xml:space="preserve">公路运输管理</w:t>
            </w:r>
          </w:p>
        </w:tc>
        <w:tc>
          <w:tcPr>
            <w:tcW w:w="1780" w:type="dxa"/>
            <w:tcBorders/>
            <w:vAlign w:val="center"/>
          </w:tcPr>
          <w:p>
            <w:pPr>
              <w:jc w:val="right"/>
            </w:pPr>
            <w:r>
              <w:rPr>
                <w:rFonts w:ascii="宋体" w:eastAsia="宋体" w:hAnsi="宋体" w:cs="宋体"/>
                <w:b w:val="0"/>
                <w:i w:val="0"/>
                <w:color w:val="000000"/>
                <w:sz w:val="18"/>
              </w:rPr>
              <w:t xml:space="preserve">13.15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2140199</w:t>
            </w:r>
          </w:p>
        </w:tc>
        <w:tc>
          <w:tcPr>
            <w:tcW w:w="4300" w:type="dxa"/>
            <w:tcBorders/>
            <w:vAlign w:val="center"/>
          </w:tcPr>
          <w:p>
            <w:pPr>
              <w:jc w:val="left"/>
            </w:pPr>
            <w:r>
              <w:rPr>
                <w:rFonts w:ascii="宋体" w:eastAsia="宋体" w:hAnsi="宋体" w:cs="宋体"/>
                <w:b w:val="0"/>
                <w:i w:val="0"/>
                <w:color w:val="000000"/>
                <w:sz w:val="18"/>
              </w:rPr>
              <w:t xml:space="preserve">其他公路水路运输支出</w:t>
            </w:r>
          </w:p>
        </w:tc>
        <w:tc>
          <w:tcPr>
            <w:tcW w:w="1780" w:type="dxa"/>
            <w:tcBorders/>
            <w:vAlign w:val="center"/>
          </w:tcPr>
          <w:p>
            <w:pPr>
              <w:jc w:val="right"/>
            </w:pPr>
            <w:r>
              <w:rPr>
                <w:rFonts w:ascii="宋体" w:eastAsia="宋体" w:hAnsi="宋体" w:cs="宋体"/>
                <w:b w:val="0"/>
                <w:i w:val="0"/>
                <w:color w:val="000000"/>
                <w:sz w:val="18"/>
              </w:rPr>
              <w:t xml:space="preserve">2,565.11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2,565.11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1,034.10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79.08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283.59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10.30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46.04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207.98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23.90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146.06</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105.09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62.60</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38.13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45.22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2.63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0.03</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110.99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27.00</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14.96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9.53</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5.91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15.34</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9.36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1,061.10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79.08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27.00</w:t>
            </w:r>
          </w:p>
        </w:tc>
        <w:tc>
          <w:tcPr>
            <w:tcW w:w="3092" w:type="dxa"/>
            <w:vAlign w:val="center"/>
          </w:tcPr>
          <w:p>
            <w:pPr>
              <w:jc w:val="right"/>
            </w:pPr>
            <w:r>
              <w:rPr>
                <w:rFonts w:ascii="宋体" w:eastAsia="宋体" w:hAnsi="宋体" w:cs="宋体"/>
                <w:b w:val="0"/>
                <w:i w:val="0"/>
                <w:color w:val="000000"/>
                <w:sz w:val="23"/>
              </w:rPr>
              <w:t xml:space="preserve">15.34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27.00</w:t>
            </w:r>
          </w:p>
        </w:tc>
        <w:tc>
          <w:tcPr>
            <w:tcW w:w="3092" w:type="dxa"/>
            <w:tcBorders/>
            <w:vAlign w:val="center"/>
          </w:tcPr>
          <w:p>
            <w:pPr>
              <w:jc w:val="right"/>
            </w:pPr>
            <w:r>
              <w:rPr>
                <w:rFonts w:ascii="宋体" w:eastAsia="宋体" w:hAnsi="宋体" w:cs="宋体"/>
                <w:b w:val="0"/>
                <w:i w:val="0"/>
                <w:color w:val="000000"/>
                <w:sz w:val="23"/>
              </w:rPr>
              <w:t xml:space="preserve">15.34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27.00</w:t>
            </w:r>
          </w:p>
        </w:tc>
        <w:tc>
          <w:tcPr>
            <w:tcW w:w="3092" w:type="dxa"/>
            <w:tcBorders/>
            <w:vAlign w:val="center"/>
          </w:tcPr>
          <w:p>
            <w:pPr>
              <w:jc w:val="right"/>
            </w:pPr>
            <w:r>
              <w:rPr>
                <w:rFonts w:ascii="宋体" w:eastAsia="宋体" w:hAnsi="宋体" w:cs="宋体"/>
                <w:b w:val="0"/>
                <w:i w:val="0"/>
                <w:color w:val="000000"/>
                <w:sz w:val="23"/>
              </w:rPr>
              <w:t xml:space="preserve">15.34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单位：辽宁省沈阳市浑南区交通运输局（本级）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066001沈阳市浑南区交通运输局本级-210112000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1268.8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1268.8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248.23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248.23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822.23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822.22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及时发放保障单位正常运行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平稳运行</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公路交通流量增长率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检查人员被投诉次数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基层群众对交通运输工作的满意度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完善部门事权和支出责任划分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车辆购置税补贴地方资金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公路养护工程量完成率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农村公路里程或项目数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农村公路有效修复率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公路建设项目合格率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工作完成时效性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县级公路小修保养平均补助标准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公路畅通所降低成本的增长率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农村道路的路况便捷性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增加便捷</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改善公路路域环境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持续改善村内道路交通环境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改善路域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基层护路队员满意度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扶持村村民满意度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大数据、云服务平台运行经费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防疫期间私家车志愿者燃油补助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支付2022年疫情防控期间私家车燃油补助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疫情期间私家车燃油补贴</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实施农村公路维修改造工程数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公路建设开展项目支出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公路畅通所降低成本的增长率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公路路域环境改善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经费保障:经费的拨付不能做到实时到位，有部分时间段款项不能按时拨付,该款项为疫情期间私家车补助。</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14.63577274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76.26%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确保了单位正常运转。满足了单位的基本需求</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经费保障:经费的拨付不能做到实时到位，有部分时间段款项不能按时拨付，该费用主要是雇员的伙食费和办公经费。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经费保障:经费的拨付不能做到实时到位，有部分时间段款项不能按时拨付，该费用主要是雇员的伙食费和办公经费。</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经费保障:经费的拨付不能做到实时到位，有部分时间段款项不能按时拨付，该费用主要是雇员的伙食费和办公经费。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经费保障:经费的拨付不能做到实时到位，有部分时间段款项不能按时拨付，该费用主要是雇员的伙食费和办公经费。</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其他:经费的拨付不能做到实时到位，有部分时间段款项不能按时拨付，该费用主要是雇员的伙食费和办公经费。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其他:经费的拨付不能做到实时到位，有部分时间段款项不能按时拨付，该费用主要是雇员的伙食费和办公经费。</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经费保障:经费的拨付不能做到实时到位，有部分时间段款项不能按时拨付，该费用主要是雇员的伙食费和办公经费。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经费保障:经费的拨付不能做到实时到位，有部分时间段款项不能按时拨付，该费用主要是雇员的伙食费和办公经费。</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交通局2023年省补资金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实施农村公路维修改造工程数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公路建设开展项目支出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公路畅通所降低成本的增长率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公路路域环境改善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交通局偿还以前年度工程欠款及化解历史遗留问题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634.99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634.99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建设道路长度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完成农村公路的建设公里数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农村公路有效修复率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修建公路及隧道工程开工及时率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公路建设开展项目支出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公路畅通所增加收入的增长率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公路交通流量增长率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改善公路路域环境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对农村公路管养项目实施持续时间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公路工作人员满意度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交通局成品油税费转移支付补助工程资金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农村公路维修改造工程工程量的完成率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公路建设开展项目支出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公路畅通所降低成本的增长率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公路路域环境改善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改善向好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交通局苏赵线路产恢复维修工程项目资金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实施农村公路维修改造工程数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公路建设开展项目支出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公路畅通所降低成本的增长率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公路路域环境改善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交通运输系统搬家费用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及时支付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执法人员经费补贴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保证平稳运行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26.13333333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物业、保安管理服务1</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保证了停车场的正常使用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57.39%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确保单位运行顺畅</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经费保障:经费的拨付不能做到实时到位，有部分时间段款项不能按时拨付，该费用主要是派遣制人员的伙食费和办公经费。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16.27929385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农村公路建设项目省补投资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778.49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91.78%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新建农村公路里程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完成农村公路的建设公里数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农村公路有效修复率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项目按期完工率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公路建设开展项目支出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公路畅通所增加收入的增长率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农村道路安全通行率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有效改善公路路域环境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对农村公路管养项目实施持续时间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路长制公示牌更新、破损修复项目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路长制公示牌及时更新、破损修复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修复破损的牌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经费保障:该笔经费是要维修路长的路牌应该及时请款并且进行及时的拨付，确保该项工作能有及时有效的完成。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经费保障:该笔经费是要维修路长的路牌应该及时请款并且进行及时的拨付，确保该项工作能有及时有效的完成。。</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27.01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残疾人就业保障金是必须项目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交通运输综合行政执法队执法人员执法制服</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按时完成绩效指标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今年没有拨付该笔款项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经费保障:经费的拨付不能做到实时到位，有部分时间段款项不能按时拨付，该费用主要是执法人员购买必要的执法制服使用。</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交通局信访维稳经费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按时支付，完成控访任务。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完成信访工作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农村公路维修改造工程工程量的完成率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公路建设开展项目支出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公路畅通所降低成本的增长率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公路路域环境改善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交通局苏赵线路产恢复维修工程项目资金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较好的完成公路建设工作任务，有效的确保农村公路的通行能力，有效的防治农村公路交通安全事故的发生，确保全区农村公路完好、安全、畅通。让老百姓走上放心路、致富路，为我区国民经济和社会发展创造了良好的条件，营造了良好的道路交通环境。交通养护专项资金助推我区交通基础建设的发展，随着项目实施极大提升了公路安全水平，提高道路运输的通行效率，降低了物流运输成本。我区农村地区交通通行条件得到显著提高，方便城乡居民出行，提升城乡居民幸福感，缓解和改善日常的交通压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实施农村公路维修改造工程数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公里</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公路建设开展项目支出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公路畅通所降低成本的增长率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公路路域环境改善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