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33C9A">
      <w:pPr>
        <w:pStyle w:val="7"/>
        <w:rPr>
          <w:rFonts w:hint="default" w:ascii="黑体" w:eastAsia="黑体"/>
          <w:sz w:val="32"/>
        </w:rPr>
      </w:pPr>
      <w:r>
        <w:rPr>
          <w:rFonts w:ascii="黑体" w:eastAsia="黑体"/>
          <w:sz w:val="32"/>
        </w:rPr>
        <w:t>附件2</w:t>
      </w:r>
    </w:p>
    <w:p w14:paraId="2DCD8C66">
      <w:pPr>
        <w:pStyle w:val="7"/>
        <w:rPr>
          <w:rFonts w:hint="default"/>
          <w:b/>
          <w:sz w:val="44"/>
        </w:rPr>
      </w:pPr>
    </w:p>
    <w:p w14:paraId="0417CBC2">
      <w:pPr>
        <w:pStyle w:val="7"/>
        <w:rPr>
          <w:rFonts w:hint="default"/>
          <w:b/>
          <w:sz w:val="44"/>
        </w:rPr>
      </w:pPr>
    </w:p>
    <w:p w14:paraId="5CCD75DF">
      <w:pPr>
        <w:pStyle w:val="7"/>
        <w:rPr>
          <w:rFonts w:hint="default"/>
          <w:b/>
          <w:sz w:val="44"/>
        </w:rPr>
      </w:pPr>
    </w:p>
    <w:p w14:paraId="1D732A3F">
      <w:pPr>
        <w:pStyle w:val="7"/>
        <w:rPr>
          <w:rFonts w:hint="default"/>
          <w:b/>
          <w:sz w:val="44"/>
        </w:rPr>
      </w:pPr>
    </w:p>
    <w:p w14:paraId="652C3EAC">
      <w:pPr>
        <w:pStyle w:val="7"/>
        <w:rPr>
          <w:rFonts w:hint="default"/>
          <w:b/>
          <w:sz w:val="44"/>
        </w:rPr>
      </w:pPr>
    </w:p>
    <w:p w14:paraId="0DDA9562">
      <w:pPr>
        <w:pStyle w:val="7"/>
        <w:rPr>
          <w:rFonts w:hint="default"/>
          <w:b/>
          <w:sz w:val="44"/>
        </w:rPr>
      </w:pPr>
    </w:p>
    <w:p w14:paraId="2768DFA2">
      <w:pPr>
        <w:spacing w:line="540" w:lineRule="exact"/>
        <w:jc w:val="center"/>
        <w:rPr>
          <w:rFonts w:hint="eastAsia" w:ascii="宋体" w:hAnsi="宋体" w:eastAsia="宋体"/>
          <w:b/>
          <w:color w:val="FF0000"/>
          <w:sz w:val="52"/>
          <w:szCs w:val="52"/>
          <w:lang w:eastAsia="zh-CN"/>
        </w:rPr>
      </w:pPr>
      <w:r>
        <w:rPr>
          <w:rFonts w:ascii="宋体" w:hAnsi="宋体"/>
          <w:b/>
          <w:sz w:val="52"/>
          <w:szCs w:val="52"/>
        </w:rPr>
        <w:t>浑南区教育局2022决算</w:t>
      </w:r>
      <w:r>
        <w:rPr>
          <w:rFonts w:hint="eastAsia" w:ascii="宋体" w:hAnsi="宋体"/>
          <w:b/>
          <w:sz w:val="52"/>
          <w:szCs w:val="52"/>
          <w:lang w:eastAsia="zh-CN"/>
        </w:rPr>
        <w:t>公开说明</w:t>
      </w:r>
    </w:p>
    <w:p w14:paraId="3E8913BC">
      <w:pPr>
        <w:pStyle w:val="7"/>
        <w:jc w:val="center"/>
        <w:rPr>
          <w:rFonts w:hint="default" w:ascii="仿宋_GB2312" w:eastAsia="仿宋_GB2312"/>
          <w:b/>
          <w:sz w:val="52"/>
        </w:rPr>
      </w:pPr>
    </w:p>
    <w:p w14:paraId="05D765CF">
      <w:pPr>
        <w:pStyle w:val="7"/>
        <w:jc w:val="center"/>
        <w:rPr>
          <w:rFonts w:hint="default" w:ascii="仿宋_GB2312" w:eastAsia="仿宋_GB2312"/>
          <w:b/>
          <w:sz w:val="52"/>
        </w:rPr>
      </w:pPr>
    </w:p>
    <w:p w14:paraId="05201079">
      <w:pPr>
        <w:pStyle w:val="7"/>
        <w:jc w:val="center"/>
        <w:rPr>
          <w:rFonts w:hint="default" w:ascii="Times New Roman" w:eastAsia="Times New Roman"/>
          <w:b/>
          <w:sz w:val="44"/>
          <w:u w:val="single"/>
        </w:rPr>
      </w:pPr>
    </w:p>
    <w:p w14:paraId="755ACEBB">
      <w:pPr>
        <w:pStyle w:val="7"/>
        <w:jc w:val="center"/>
        <w:rPr>
          <w:rFonts w:hint="default" w:ascii="Times New Roman" w:eastAsia="Times New Roman"/>
          <w:b/>
          <w:sz w:val="44"/>
          <w:u w:val="single"/>
        </w:rPr>
      </w:pPr>
    </w:p>
    <w:p w14:paraId="30C7EBFC">
      <w:pPr>
        <w:pStyle w:val="7"/>
        <w:jc w:val="center"/>
        <w:rPr>
          <w:rFonts w:hint="default" w:ascii="Times New Roman" w:eastAsia="Times New Roman"/>
          <w:b/>
          <w:sz w:val="44"/>
          <w:u w:val="single"/>
        </w:rPr>
      </w:pPr>
    </w:p>
    <w:p w14:paraId="042703C5">
      <w:pPr>
        <w:pStyle w:val="7"/>
        <w:jc w:val="center"/>
        <w:rPr>
          <w:rFonts w:hint="default" w:ascii="Times New Roman" w:eastAsia="Times New Roman"/>
          <w:b/>
          <w:sz w:val="44"/>
          <w:u w:val="single"/>
        </w:rPr>
      </w:pPr>
    </w:p>
    <w:p w14:paraId="57EC6397">
      <w:pPr>
        <w:pStyle w:val="7"/>
        <w:jc w:val="center"/>
        <w:rPr>
          <w:rFonts w:hint="default" w:ascii="Times New Roman" w:eastAsia="Times New Roman"/>
          <w:b/>
          <w:sz w:val="44"/>
          <w:u w:val="single"/>
        </w:rPr>
      </w:pPr>
    </w:p>
    <w:p w14:paraId="54A87D25">
      <w:pPr>
        <w:pStyle w:val="7"/>
        <w:jc w:val="center"/>
        <w:rPr>
          <w:rFonts w:hint="default" w:ascii="Times New Roman" w:eastAsia="Times New Roman"/>
          <w:b/>
          <w:sz w:val="44"/>
          <w:u w:val="single"/>
        </w:rPr>
      </w:pPr>
    </w:p>
    <w:p w14:paraId="03021E6D">
      <w:pPr>
        <w:pStyle w:val="7"/>
        <w:jc w:val="center"/>
        <w:rPr>
          <w:rFonts w:hint="default" w:ascii="Times New Roman" w:eastAsia="Times New Roman"/>
          <w:b/>
          <w:sz w:val="44"/>
          <w:u w:val="single"/>
        </w:rPr>
      </w:pPr>
    </w:p>
    <w:p w14:paraId="52BFAA2F">
      <w:pPr>
        <w:pStyle w:val="7"/>
        <w:jc w:val="center"/>
        <w:rPr>
          <w:rFonts w:hint="default" w:ascii="Times New Roman" w:eastAsiaTheme="minorEastAsia"/>
          <w:b/>
          <w:sz w:val="44"/>
          <w:u w:val="single"/>
        </w:rPr>
      </w:pPr>
    </w:p>
    <w:p w14:paraId="2E1925F0">
      <w:pPr>
        <w:pStyle w:val="7"/>
        <w:jc w:val="center"/>
        <w:rPr>
          <w:rFonts w:hint="default" w:ascii="Times New Roman" w:eastAsiaTheme="minorEastAsia"/>
          <w:b/>
          <w:sz w:val="44"/>
          <w:u w:val="single"/>
        </w:rPr>
      </w:pPr>
    </w:p>
    <w:p w14:paraId="6EBC340B">
      <w:pPr>
        <w:pStyle w:val="7"/>
        <w:jc w:val="center"/>
        <w:rPr>
          <w:rFonts w:hint="default" w:ascii="Times New Roman" w:eastAsiaTheme="minorEastAsia"/>
          <w:b/>
          <w:sz w:val="44"/>
          <w:u w:val="single"/>
        </w:rPr>
      </w:pPr>
    </w:p>
    <w:p w14:paraId="343B51E9">
      <w:pPr>
        <w:pStyle w:val="7"/>
        <w:jc w:val="center"/>
        <w:rPr>
          <w:rFonts w:hint="default" w:ascii="Times New Roman" w:eastAsia="Times New Roman"/>
          <w:b/>
          <w:sz w:val="44"/>
          <w:u w:val="single"/>
        </w:rPr>
      </w:pPr>
    </w:p>
    <w:p w14:paraId="3F3BF382">
      <w:pPr>
        <w:pStyle w:val="7"/>
        <w:spacing w:line="560" w:lineRule="exact"/>
        <w:jc w:val="center"/>
        <w:rPr>
          <w:rFonts w:hint="default" w:ascii="Times New Roman" w:eastAsia="Times New Roman"/>
          <w:b/>
          <w:sz w:val="44"/>
        </w:rPr>
      </w:pPr>
      <w:r>
        <w:rPr>
          <w:b/>
          <w:sz w:val="44"/>
        </w:rPr>
        <w:t>目录</w:t>
      </w:r>
    </w:p>
    <w:p w14:paraId="3844358A">
      <w:pPr>
        <w:pStyle w:val="7"/>
        <w:spacing w:line="560" w:lineRule="exact"/>
        <w:rPr>
          <w:rFonts w:hint="default" w:ascii="Times New Roman" w:eastAsia="Times New Roman"/>
          <w:b/>
          <w:sz w:val="44"/>
          <w:u w:val="single"/>
        </w:rPr>
      </w:pPr>
    </w:p>
    <w:p w14:paraId="460568ED">
      <w:pPr>
        <w:pStyle w:val="7"/>
        <w:spacing w:line="560" w:lineRule="exact"/>
        <w:rPr>
          <w:rFonts w:hint="default" w:ascii="黑体" w:eastAsia="黑体"/>
          <w:sz w:val="32"/>
        </w:rPr>
      </w:pPr>
      <w:r>
        <w:rPr>
          <w:rFonts w:ascii="黑体" w:eastAsia="黑体"/>
          <w:sz w:val="32"/>
        </w:rPr>
        <w:t>第一部分    部门概况</w:t>
      </w:r>
    </w:p>
    <w:p w14:paraId="79B7692A">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37AD0825">
      <w:pPr>
        <w:pStyle w:val="7"/>
        <w:spacing w:line="560" w:lineRule="exact"/>
        <w:rPr>
          <w:rFonts w:hint="default" w:ascii="仿宋_GB2312" w:eastAsia="仿宋_GB2312"/>
          <w:sz w:val="32"/>
        </w:rPr>
      </w:pPr>
      <w:r>
        <w:rPr>
          <w:rFonts w:ascii="仿宋_GB2312" w:eastAsia="仿宋_GB2312"/>
          <w:sz w:val="32"/>
        </w:rPr>
        <w:t>二、决算单位构成</w:t>
      </w:r>
    </w:p>
    <w:p w14:paraId="5F54D907">
      <w:pPr>
        <w:pStyle w:val="7"/>
        <w:spacing w:line="560" w:lineRule="exact"/>
        <w:rPr>
          <w:rFonts w:hint="default" w:ascii="黑体" w:eastAsia="黑体"/>
          <w:sz w:val="32"/>
        </w:rPr>
      </w:pPr>
      <w:r>
        <w:rPr>
          <w:rFonts w:ascii="黑体" w:eastAsia="黑体"/>
          <w:sz w:val="32"/>
        </w:rPr>
        <w:t>第二部分    2022年度决算情况说明</w:t>
      </w:r>
    </w:p>
    <w:p w14:paraId="1B72B993">
      <w:pPr>
        <w:pStyle w:val="7"/>
        <w:spacing w:line="560" w:lineRule="exact"/>
        <w:rPr>
          <w:rFonts w:hint="default" w:ascii="仿宋_GB2312" w:eastAsia="仿宋_GB2312"/>
          <w:sz w:val="32"/>
        </w:rPr>
      </w:pPr>
      <w:r>
        <w:rPr>
          <w:rFonts w:ascii="仿宋_GB2312" w:eastAsia="仿宋_GB2312"/>
          <w:sz w:val="32"/>
        </w:rPr>
        <w:t>一、收入支出决算总体情况说明</w:t>
      </w:r>
    </w:p>
    <w:p w14:paraId="4E7308C0">
      <w:pPr>
        <w:pStyle w:val="7"/>
        <w:spacing w:line="560" w:lineRule="exact"/>
        <w:rPr>
          <w:rFonts w:hint="default" w:ascii="仿宋_GB2312" w:eastAsia="仿宋_GB2312"/>
          <w:sz w:val="32"/>
        </w:rPr>
      </w:pPr>
      <w:r>
        <w:rPr>
          <w:rFonts w:ascii="仿宋_GB2312" w:eastAsia="仿宋_GB2312"/>
          <w:sz w:val="32"/>
        </w:rPr>
        <w:t>二、财政拨款收入支出决算情况说明</w:t>
      </w:r>
    </w:p>
    <w:p w14:paraId="6C81BD11">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0FAF1E6A">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510AE11F">
      <w:pPr>
        <w:pStyle w:val="7"/>
        <w:spacing w:line="560" w:lineRule="exact"/>
        <w:rPr>
          <w:rFonts w:hint="default" w:ascii="黑体" w:eastAsia="黑体"/>
          <w:sz w:val="32"/>
        </w:rPr>
      </w:pPr>
      <w:r>
        <w:rPr>
          <w:rFonts w:ascii="仿宋_GB2312" w:eastAsia="仿宋_GB2312"/>
          <w:sz w:val="32"/>
        </w:rPr>
        <w:t>五、其他重要事项的情况说明</w:t>
      </w:r>
    </w:p>
    <w:p w14:paraId="62CCCA34">
      <w:pPr>
        <w:pStyle w:val="7"/>
        <w:spacing w:line="560" w:lineRule="exact"/>
        <w:rPr>
          <w:rFonts w:hint="default" w:ascii="黑体" w:eastAsia="黑体"/>
          <w:sz w:val="32"/>
        </w:rPr>
      </w:pPr>
      <w:r>
        <w:rPr>
          <w:rFonts w:ascii="黑体" w:eastAsia="黑体"/>
          <w:sz w:val="32"/>
        </w:rPr>
        <w:t>第三部分    名词解释</w:t>
      </w:r>
    </w:p>
    <w:p w14:paraId="253ED7DA">
      <w:pPr>
        <w:spacing w:line="540" w:lineRule="exact"/>
        <w:rPr>
          <w:rFonts w:hint="default" w:ascii="黑体" w:hAnsi="黑体" w:eastAsia="黑体"/>
          <w:sz w:val="32"/>
          <w:szCs w:val="32"/>
        </w:rPr>
      </w:pPr>
      <w:r>
        <w:rPr>
          <w:rFonts w:ascii="黑体" w:hAnsi="黑体" w:eastAsia="黑体"/>
          <w:sz w:val="32"/>
          <w:szCs w:val="32"/>
        </w:rPr>
        <w:t>第四部分    2022年度决算报表</w:t>
      </w:r>
    </w:p>
    <w:p w14:paraId="05F358E2">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14:paraId="1E167F87">
      <w:pPr>
        <w:spacing w:line="540" w:lineRule="exact"/>
        <w:rPr>
          <w:rFonts w:hint="default" w:ascii="仿宋_GB2312" w:eastAsia="仿宋_GB2312"/>
          <w:sz w:val="32"/>
          <w:szCs w:val="32"/>
        </w:rPr>
      </w:pPr>
      <w:r>
        <w:rPr>
          <w:rFonts w:ascii="仿宋_GB2312" w:eastAsia="仿宋_GB2312"/>
          <w:sz w:val="32"/>
          <w:szCs w:val="32"/>
        </w:rPr>
        <w:t>二、收入决算表</w:t>
      </w:r>
    </w:p>
    <w:p w14:paraId="07168B1C">
      <w:pPr>
        <w:spacing w:line="540" w:lineRule="exact"/>
        <w:rPr>
          <w:rFonts w:hint="default" w:ascii="仿宋_GB2312" w:eastAsia="仿宋_GB2312"/>
          <w:sz w:val="32"/>
          <w:szCs w:val="32"/>
        </w:rPr>
      </w:pPr>
      <w:r>
        <w:rPr>
          <w:rFonts w:ascii="仿宋_GB2312" w:eastAsia="仿宋_GB2312"/>
          <w:sz w:val="32"/>
          <w:szCs w:val="32"/>
        </w:rPr>
        <w:t>三、支出决算表</w:t>
      </w:r>
    </w:p>
    <w:p w14:paraId="66426452">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14:paraId="622C71D7">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14:paraId="6DF45055">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14:paraId="021921DF">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14:paraId="06571676">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14:paraId="797D2915">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14:paraId="09B674BD">
      <w:pPr>
        <w:spacing w:line="540" w:lineRule="exact"/>
        <w:rPr>
          <w:rFonts w:hint="default" w:ascii="黑体" w:hAnsi="黑体" w:eastAsia="黑体"/>
          <w:b/>
          <w:sz w:val="44"/>
          <w:szCs w:val="44"/>
          <w:u w:val="single"/>
        </w:rPr>
      </w:pPr>
      <w:r>
        <w:rPr>
          <w:rFonts w:ascii="黑体" w:hAnsi="黑体" w:eastAsia="黑体"/>
          <w:sz w:val="32"/>
          <w:szCs w:val="32"/>
        </w:rPr>
        <w:t>第五部分    附件</w:t>
      </w:r>
    </w:p>
    <w:p w14:paraId="4EB876BB">
      <w:pPr>
        <w:pStyle w:val="7"/>
        <w:spacing w:line="560" w:lineRule="exact"/>
        <w:jc w:val="center"/>
        <w:rPr>
          <w:rFonts w:hint="default"/>
          <w:b/>
          <w:sz w:val="36"/>
        </w:rPr>
      </w:pPr>
    </w:p>
    <w:p w14:paraId="6C6587FE">
      <w:pPr>
        <w:pStyle w:val="7"/>
        <w:spacing w:line="560" w:lineRule="exact"/>
        <w:jc w:val="center"/>
        <w:rPr>
          <w:rFonts w:hint="default"/>
          <w:b/>
          <w:sz w:val="36"/>
        </w:rPr>
      </w:pPr>
    </w:p>
    <w:p w14:paraId="42826ACA">
      <w:pPr>
        <w:pStyle w:val="7"/>
        <w:spacing w:line="560" w:lineRule="exact"/>
        <w:jc w:val="center"/>
        <w:rPr>
          <w:rFonts w:hint="default"/>
          <w:b/>
          <w:sz w:val="36"/>
        </w:rPr>
      </w:pPr>
      <w:r>
        <w:rPr>
          <w:b/>
          <w:sz w:val="36"/>
        </w:rPr>
        <w:t>第一部分浑南区教育局概况</w:t>
      </w:r>
    </w:p>
    <w:p w14:paraId="609E3035">
      <w:pPr>
        <w:pStyle w:val="7"/>
        <w:spacing w:line="560" w:lineRule="exact"/>
        <w:ind w:firstLine="640"/>
        <w:rPr>
          <w:rFonts w:hint="default" w:ascii="黑体" w:eastAsia="黑体"/>
          <w:sz w:val="32"/>
        </w:rPr>
      </w:pPr>
    </w:p>
    <w:p w14:paraId="3A1EF3FE">
      <w:pPr>
        <w:pStyle w:val="7"/>
        <w:spacing w:line="560" w:lineRule="exact"/>
        <w:ind w:firstLine="640"/>
        <w:rPr>
          <w:rFonts w:hint="default" w:ascii="黑体" w:eastAsia="黑体"/>
          <w:sz w:val="32"/>
        </w:rPr>
      </w:pPr>
      <w:r>
        <w:rPr>
          <w:rFonts w:ascii="黑体" w:eastAsia="黑体"/>
          <w:sz w:val="32"/>
        </w:rPr>
        <w:t>一、主要职责</w:t>
      </w:r>
    </w:p>
    <w:p w14:paraId="37F9ECFE">
      <w:pPr>
        <w:spacing w:line="560" w:lineRule="exact"/>
        <w:ind w:firstLine="640" w:firstLineChars="200"/>
        <w:rPr>
          <w:rFonts w:hint="default" w:eastAsia="仿宋_GB2312"/>
          <w:sz w:val="32"/>
          <w:szCs w:val="32"/>
        </w:rPr>
      </w:pPr>
      <w:r>
        <w:rPr>
          <w:rFonts w:eastAsia="仿宋_GB2312" w:cs="仿宋_GB2312"/>
          <w:sz w:val="32"/>
          <w:szCs w:val="32"/>
        </w:rPr>
        <w:t>（一）贯彻执行国家、省、市教育改革与发展方针、政策和法律法规、规章及省、市有关要求，拟订本区教育改革与发展规划和教育工作政策并组织实施。</w:t>
      </w:r>
    </w:p>
    <w:p w14:paraId="67E72241">
      <w:pPr>
        <w:spacing w:line="560" w:lineRule="exact"/>
        <w:ind w:firstLine="640" w:firstLineChars="200"/>
        <w:rPr>
          <w:rFonts w:hint="default" w:eastAsia="仿宋_GB2312"/>
          <w:sz w:val="32"/>
          <w:szCs w:val="32"/>
        </w:rPr>
      </w:pPr>
      <w:r>
        <w:rPr>
          <w:rFonts w:eastAsia="仿宋_GB2312" w:cs="仿宋_GB2312"/>
          <w:sz w:val="32"/>
          <w:szCs w:val="32"/>
        </w:rPr>
        <w:t>（二）负责全区中小学及幼儿园的统筹规划和协调管理；负责推进全区义务教育均衡发展和促进教育公平，优化学校布局，合理划分学区，保障适龄儿童、少年平等接受义务教育。</w:t>
      </w:r>
    </w:p>
    <w:p w14:paraId="108A8E16">
      <w:pPr>
        <w:spacing w:line="560" w:lineRule="exact"/>
        <w:ind w:firstLine="640" w:firstLineChars="200"/>
        <w:rPr>
          <w:rFonts w:hint="default" w:eastAsia="仿宋_GB2312"/>
          <w:sz w:val="32"/>
          <w:szCs w:val="32"/>
        </w:rPr>
      </w:pPr>
      <w:r>
        <w:rPr>
          <w:rFonts w:eastAsia="仿宋_GB2312" w:cs="仿宋_GB2312"/>
          <w:sz w:val="32"/>
          <w:szCs w:val="32"/>
        </w:rPr>
        <w:t>（三）组织区域性教育综合改革工作，指导全区中小学及幼儿园的教育教学改革；负责全区教育基本信息的统计、分析和发布。</w:t>
      </w:r>
    </w:p>
    <w:p w14:paraId="334D4376">
      <w:pPr>
        <w:spacing w:line="560" w:lineRule="exact"/>
        <w:ind w:firstLine="640" w:firstLineChars="200"/>
        <w:rPr>
          <w:rFonts w:hint="default" w:eastAsia="仿宋_GB2312"/>
          <w:sz w:val="32"/>
          <w:szCs w:val="32"/>
        </w:rPr>
      </w:pPr>
      <w:r>
        <w:rPr>
          <w:rFonts w:eastAsia="仿宋_GB2312" w:cs="仿宋_GB2312"/>
          <w:sz w:val="32"/>
          <w:szCs w:val="32"/>
        </w:rPr>
        <w:t>（四）负责全区学前教育、义务教育、普通高中教育、特殊教育和民族教育工作；牵头相关部门开展青少年校外教育、社区教育、终身教育等工作。</w:t>
      </w:r>
    </w:p>
    <w:p w14:paraId="12E16E0C">
      <w:pPr>
        <w:spacing w:line="560" w:lineRule="exact"/>
        <w:ind w:firstLine="640" w:firstLineChars="200"/>
        <w:rPr>
          <w:rFonts w:hint="default" w:eastAsia="仿宋_GB2312"/>
          <w:sz w:val="32"/>
          <w:szCs w:val="32"/>
        </w:rPr>
      </w:pPr>
      <w:r>
        <w:rPr>
          <w:rFonts w:eastAsia="仿宋_GB2312" w:cs="仿宋_GB2312"/>
          <w:sz w:val="32"/>
          <w:szCs w:val="32"/>
        </w:rPr>
        <w:t>（五）负责本系统干部、教师的培训与交流，统筹规划和指导本系统人才队伍建设工作；会同有关部门管理本系统的人事、工资福利、机构编制等工作。</w:t>
      </w:r>
    </w:p>
    <w:p w14:paraId="31B1F1CF">
      <w:pPr>
        <w:spacing w:line="560" w:lineRule="exact"/>
        <w:ind w:firstLine="640" w:firstLineChars="200"/>
        <w:rPr>
          <w:rFonts w:hint="default" w:eastAsia="仿宋_GB2312"/>
          <w:sz w:val="32"/>
          <w:szCs w:val="32"/>
        </w:rPr>
      </w:pPr>
      <w:r>
        <w:rPr>
          <w:rFonts w:eastAsia="仿宋_GB2312" w:cs="仿宋_GB2312"/>
          <w:sz w:val="32"/>
          <w:szCs w:val="32"/>
        </w:rPr>
        <w:t>（六）负责驻区新建园所、民办教育机构的管理；负责驻区民办学校的管理。</w:t>
      </w:r>
    </w:p>
    <w:p w14:paraId="0C43A16D">
      <w:pPr>
        <w:spacing w:line="560" w:lineRule="exact"/>
        <w:ind w:firstLine="640" w:firstLineChars="200"/>
        <w:rPr>
          <w:rFonts w:hint="default" w:eastAsia="仿宋_GB2312"/>
          <w:sz w:val="32"/>
          <w:szCs w:val="32"/>
        </w:rPr>
      </w:pPr>
      <w:r>
        <w:rPr>
          <w:rFonts w:eastAsia="仿宋_GB2312" w:cs="仿宋_GB2312"/>
          <w:sz w:val="32"/>
          <w:szCs w:val="32"/>
        </w:rPr>
        <w:t>（七）拟订全区中小学、幼儿园的基本建设中长期规划、年度基本建设及维修计划并组织实施。</w:t>
      </w:r>
    </w:p>
    <w:p w14:paraId="33885238">
      <w:pPr>
        <w:spacing w:line="560" w:lineRule="exact"/>
        <w:ind w:firstLine="640" w:firstLineChars="200"/>
        <w:rPr>
          <w:rFonts w:hint="default" w:eastAsia="仿宋_GB2312"/>
          <w:sz w:val="32"/>
          <w:szCs w:val="32"/>
        </w:rPr>
      </w:pPr>
      <w:r>
        <w:rPr>
          <w:rFonts w:eastAsia="仿宋_GB2312" w:cs="仿宋_GB2312"/>
          <w:sz w:val="32"/>
          <w:szCs w:val="32"/>
        </w:rPr>
        <w:t>（八）负责管理本系统教育经费，参与拟定年度教育事业经费（含专项经费）和教育费附加预算，并按规定程序实施。</w:t>
      </w:r>
    </w:p>
    <w:p w14:paraId="3D0F42E5">
      <w:pPr>
        <w:spacing w:line="560" w:lineRule="exact"/>
        <w:ind w:firstLine="640" w:firstLineChars="200"/>
        <w:rPr>
          <w:rFonts w:hint="default" w:ascii="仿宋_GB2312" w:eastAsia="仿宋_GB2312"/>
          <w:sz w:val="32"/>
          <w:szCs w:val="32"/>
        </w:rPr>
      </w:pPr>
      <w:r>
        <w:rPr>
          <w:rFonts w:ascii="仿宋_GB2312" w:eastAsia="仿宋_GB2312" w:cs="仿宋_GB2312"/>
          <w:sz w:val="32"/>
          <w:szCs w:val="32"/>
        </w:rPr>
        <w:t>（九）负责全区中小学及幼儿园的德育工作、体育卫生与艺术教育工作、国防教育工作和安全工作；会同有关部门搞好综合治理、青少年保护、语言文字工作。</w:t>
      </w:r>
    </w:p>
    <w:p w14:paraId="21F560C9">
      <w:pPr>
        <w:spacing w:line="560" w:lineRule="exact"/>
        <w:ind w:firstLine="640" w:firstLineChars="200"/>
        <w:rPr>
          <w:rFonts w:hint="default" w:ascii="仿宋_GB2312" w:eastAsia="仿宋_GB2312"/>
          <w:sz w:val="32"/>
          <w:szCs w:val="32"/>
        </w:rPr>
      </w:pPr>
      <w:r>
        <w:rPr>
          <w:rFonts w:ascii="仿宋_GB2312" w:eastAsia="仿宋_GB2312" w:cs="仿宋_GB2312"/>
          <w:sz w:val="32"/>
          <w:szCs w:val="32"/>
        </w:rPr>
        <w:t>（十）负责全区各类教育统一考试的组织实施管理；负责中小学、幼儿园的招生及学籍管理工作。</w:t>
      </w:r>
    </w:p>
    <w:p w14:paraId="12D62F1A">
      <w:pPr>
        <w:spacing w:line="560" w:lineRule="exact"/>
        <w:ind w:firstLine="640" w:firstLineChars="200"/>
        <w:rPr>
          <w:rFonts w:hint="default" w:eastAsia="仿宋_GB2312"/>
          <w:sz w:val="32"/>
          <w:szCs w:val="32"/>
        </w:rPr>
      </w:pPr>
      <w:r>
        <w:rPr>
          <w:rFonts w:eastAsia="仿宋_GB2312" w:cs="仿宋_GB2312"/>
          <w:sz w:val="32"/>
          <w:szCs w:val="32"/>
        </w:rPr>
        <w:t>（十一）承担全区教育督导实施工作，开展教育评估监测，承担区政府教育督导委员会的日常工作。</w:t>
      </w:r>
    </w:p>
    <w:p w14:paraId="25217C7B">
      <w:pPr>
        <w:spacing w:line="560" w:lineRule="exact"/>
        <w:ind w:firstLine="640" w:firstLineChars="200"/>
        <w:rPr>
          <w:rFonts w:hint="default" w:eastAsia="仿宋_GB2312"/>
          <w:sz w:val="32"/>
          <w:szCs w:val="32"/>
        </w:rPr>
      </w:pPr>
      <w:r>
        <w:rPr>
          <w:rFonts w:eastAsia="仿宋_GB2312" w:cs="仿宋_GB2312"/>
          <w:sz w:val="32"/>
          <w:szCs w:val="32"/>
        </w:rPr>
        <w:t>（十二）贯彻落实中央、省委和市委关于教育工作的方针、政策和有关规定，坚持正确的办学方向。指导全区各类学校党的建设、精神文明建设、思想政治工作、稳定工作、干部教育工作和统战、群团工作。</w:t>
      </w:r>
    </w:p>
    <w:p w14:paraId="7DD656BC">
      <w:pPr>
        <w:spacing w:line="560" w:lineRule="exact"/>
        <w:ind w:firstLine="640" w:firstLineChars="200"/>
        <w:rPr>
          <w:rFonts w:hint="default" w:eastAsia="仿宋_GB2312"/>
          <w:sz w:val="32"/>
          <w:szCs w:val="32"/>
        </w:rPr>
      </w:pPr>
      <w:r>
        <w:rPr>
          <w:rFonts w:eastAsia="仿宋_GB2312" w:cs="仿宋_GB2312"/>
          <w:sz w:val="32"/>
          <w:szCs w:val="32"/>
        </w:rPr>
        <w:t>（十三）负责本单位安全生产工作。</w:t>
      </w:r>
    </w:p>
    <w:p w14:paraId="357B1291">
      <w:pPr>
        <w:spacing w:line="560" w:lineRule="exact"/>
        <w:ind w:firstLine="640" w:firstLineChars="200"/>
        <w:rPr>
          <w:rFonts w:hint="default" w:eastAsia="仿宋_GB2312"/>
          <w:sz w:val="32"/>
          <w:szCs w:val="32"/>
        </w:rPr>
      </w:pPr>
      <w:r>
        <w:rPr>
          <w:rFonts w:eastAsia="仿宋_GB2312" w:cs="仿宋_GB2312"/>
          <w:sz w:val="32"/>
          <w:szCs w:val="32"/>
        </w:rPr>
        <w:t>（十四）完成区委、区政府交办的其他任务。</w:t>
      </w:r>
    </w:p>
    <w:p w14:paraId="28099D75">
      <w:pPr>
        <w:pStyle w:val="7"/>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14:paraId="7900BF85">
      <w:pPr>
        <w:pStyle w:val="7"/>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纳入本单位2022年决算编制范围的二级预算单位包括：</w:t>
      </w:r>
    </w:p>
    <w:p w14:paraId="04BD72B7">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 沈阳市浑南区教育局本级</w:t>
      </w:r>
    </w:p>
    <w:p w14:paraId="65865684">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 沈阳市第五十一中学</w:t>
      </w:r>
    </w:p>
    <w:p w14:paraId="5997C1F1">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 沈阳市第五十一中学分校</w:t>
      </w:r>
    </w:p>
    <w:p w14:paraId="776040F9">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4. 沈阳市浑南区第一初级中学</w:t>
      </w:r>
    </w:p>
    <w:p w14:paraId="3EEDE64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5. 沈阳市浑南区第二初级中学</w:t>
      </w:r>
    </w:p>
    <w:p w14:paraId="4FEA21EA">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6. 沈阳市浑南区第四中学</w:t>
      </w:r>
    </w:p>
    <w:p w14:paraId="3F088C34">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7. 沈阳市浑南区第五初级中学</w:t>
      </w:r>
    </w:p>
    <w:p w14:paraId="26CE905A">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8. 沈阳市浑南区第六初级中学</w:t>
      </w:r>
    </w:p>
    <w:p w14:paraId="3C7D1FE4">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9. 沈阳市浑南区实验中学</w:t>
      </w:r>
    </w:p>
    <w:p w14:paraId="36513621">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10. 沈阳市浑南区朝鲜族学校</w:t>
      </w:r>
    </w:p>
    <w:p w14:paraId="7275CC8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11. 沈阳市浑南区高坎中学</w:t>
      </w:r>
    </w:p>
    <w:p w14:paraId="51FB2EA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12. 沈阳市浑南区英达中学</w:t>
      </w:r>
    </w:p>
    <w:p w14:paraId="37F13D20">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13. 沈阳市第六十三中学</w:t>
      </w:r>
    </w:p>
    <w:p w14:paraId="7BAA1D99">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14. 沈阳市第七十二中学</w:t>
      </w:r>
    </w:p>
    <w:p w14:paraId="3DFD99F7">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15. 沈阳市第七十三中学</w:t>
      </w:r>
    </w:p>
    <w:p w14:paraId="6FE2E8DE">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16. 沈阳市浑南区第一小学</w:t>
      </w:r>
    </w:p>
    <w:p w14:paraId="4C3C9822">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17. 沈阳市浑南区第二小学</w:t>
      </w:r>
    </w:p>
    <w:p w14:paraId="1D160C9A">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18. 沈阳市浑南区第三小学</w:t>
      </w:r>
    </w:p>
    <w:p w14:paraId="4F11DD47">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19. 沈阳市浑南区第四小学</w:t>
      </w:r>
    </w:p>
    <w:p w14:paraId="50D093D8">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20. 沈阳市浑南区第五小学</w:t>
      </w:r>
    </w:p>
    <w:p w14:paraId="3E7949F1">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21. 沈阳市浑南区第八小学</w:t>
      </w:r>
    </w:p>
    <w:p w14:paraId="343B1B58">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22. 沈阳市浑南区第九小学</w:t>
      </w:r>
    </w:p>
    <w:p w14:paraId="67FCA87F">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23. 沈阳市浑南区第十一小学</w:t>
      </w:r>
    </w:p>
    <w:p w14:paraId="0DE19AB9">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24. 沈阳市浑南区第十二小学</w:t>
      </w:r>
    </w:p>
    <w:p w14:paraId="3C0C63BF">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25. 沈阳市浑南区白塔小学</w:t>
      </w:r>
    </w:p>
    <w:p w14:paraId="11F9DD29">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26. 沈阳市浑南区浑河站中心小学</w:t>
      </w:r>
    </w:p>
    <w:p w14:paraId="58A65929">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27. 沈阳市浑南区王滨希望学校</w:t>
      </w:r>
    </w:p>
    <w:p w14:paraId="05ED3104">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28. 沈阳市浑南区高坎中心小学</w:t>
      </w:r>
    </w:p>
    <w:p w14:paraId="6997B4E8">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29. 沈阳市浑南区英达满族小学</w:t>
      </w:r>
    </w:p>
    <w:p w14:paraId="2B5B54B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30. 沈阳市浑南区东陵路小学</w:t>
      </w:r>
    </w:p>
    <w:p w14:paraId="0C37325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31. 沈阳市浑南区望滨小学</w:t>
      </w:r>
    </w:p>
    <w:p w14:paraId="25B3FCF9">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32. 沈阳市浑南区实验小学</w:t>
      </w:r>
    </w:p>
    <w:p w14:paraId="7BC47F2B">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33. 北京师范大学沈阳附属学校</w:t>
      </w:r>
    </w:p>
    <w:p w14:paraId="1BD8CB6E">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34.沈阳市浑南区阳光学校</w:t>
      </w:r>
    </w:p>
    <w:p w14:paraId="40CC0074">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35.</w:t>
      </w:r>
      <w:r>
        <w:t xml:space="preserve"> </w:t>
      </w:r>
      <w:r>
        <w:rPr>
          <w:rFonts w:ascii="仿宋_GB2312" w:hAnsi="仿宋_GB2312" w:eastAsia="仿宋_GB2312" w:cs="仿宋_GB2312"/>
          <w:sz w:val="32"/>
          <w:szCs w:val="32"/>
        </w:rPr>
        <w:t>沈阳市浑南区花语幼儿园</w:t>
      </w:r>
    </w:p>
    <w:p w14:paraId="3B3B1A7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36.</w:t>
      </w:r>
      <w:r>
        <w:t xml:space="preserve"> </w:t>
      </w:r>
      <w:r>
        <w:rPr>
          <w:rFonts w:ascii="仿宋_GB2312" w:hAnsi="仿宋_GB2312" w:eastAsia="仿宋_GB2312" w:cs="仿宋_GB2312"/>
          <w:sz w:val="32"/>
          <w:szCs w:val="32"/>
        </w:rPr>
        <w:t>沈阳市浑南区第一小学幼儿园</w:t>
      </w:r>
    </w:p>
    <w:p w14:paraId="31A55F96">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37.</w:t>
      </w:r>
      <w:r>
        <w:t xml:space="preserve"> </w:t>
      </w:r>
      <w:r>
        <w:rPr>
          <w:rFonts w:ascii="仿宋_GB2312" w:hAnsi="仿宋_GB2312" w:eastAsia="仿宋_GB2312" w:cs="仿宋_GB2312"/>
          <w:sz w:val="32"/>
          <w:szCs w:val="32"/>
        </w:rPr>
        <w:t>沈阳市浑南区创新第一小学</w:t>
      </w:r>
    </w:p>
    <w:p w14:paraId="12B0FE13">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38.沈阳市第126中学浑南分校</w:t>
      </w:r>
    </w:p>
    <w:p w14:paraId="6847F87B">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39.沈阳市浑南区教育局幼儿园</w:t>
      </w:r>
    </w:p>
    <w:p w14:paraId="25A505F8">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40.沈阳市浑南区第二小学幼儿园</w:t>
      </w:r>
    </w:p>
    <w:p w14:paraId="740A623D">
      <w:pPr>
        <w:ind w:left="840"/>
        <w:jc w:val="left"/>
        <w:rPr>
          <w:rFonts w:hint="default" w:ascii="仿宋_GB2312" w:hAnsi="仿宋_GB2312" w:eastAsia="仿宋_GB2312"/>
          <w:sz w:val="32"/>
          <w:szCs w:val="32"/>
        </w:rPr>
      </w:pPr>
      <w:r>
        <w:rPr>
          <w:rFonts w:ascii="仿宋_GB2312" w:hAnsi="仿宋_GB2312" w:eastAsia="仿宋_GB2312" w:cs="仿宋_GB2312"/>
          <w:sz w:val="32"/>
          <w:szCs w:val="32"/>
        </w:rPr>
        <w:t>41.沈阳市浑南区招生考试委员会办公室</w:t>
      </w:r>
    </w:p>
    <w:p w14:paraId="5AE6D280">
      <w:pPr>
        <w:pStyle w:val="7"/>
        <w:spacing w:line="560" w:lineRule="exact"/>
        <w:jc w:val="center"/>
        <w:rPr>
          <w:rFonts w:hint="default"/>
          <w:b/>
          <w:sz w:val="36"/>
        </w:rPr>
      </w:pPr>
    </w:p>
    <w:p w14:paraId="534BA6D0">
      <w:pPr>
        <w:pStyle w:val="7"/>
        <w:spacing w:line="560" w:lineRule="exact"/>
        <w:jc w:val="center"/>
        <w:rPr>
          <w:rFonts w:hint="default"/>
          <w:b/>
          <w:sz w:val="36"/>
        </w:rPr>
      </w:pPr>
      <w:r>
        <w:rPr>
          <w:b/>
          <w:sz w:val="36"/>
        </w:rPr>
        <w:t>第二部分 浑南区教育局2022年决算情况说明</w:t>
      </w:r>
    </w:p>
    <w:p w14:paraId="2447FA97">
      <w:pPr>
        <w:pStyle w:val="7"/>
        <w:spacing w:line="560" w:lineRule="exact"/>
        <w:ind w:firstLine="640" w:firstLineChars="200"/>
        <w:rPr>
          <w:rFonts w:hint="default" w:ascii="黑体" w:eastAsia="黑体"/>
          <w:sz w:val="32"/>
        </w:rPr>
      </w:pPr>
    </w:p>
    <w:p w14:paraId="3BB68A4A">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1E106567">
      <w:pPr>
        <w:spacing w:line="540" w:lineRule="exact"/>
        <w:ind w:firstLine="630" w:firstLineChars="196"/>
        <w:rPr>
          <w:rFonts w:hint="default" w:ascii="楷体_GB2312" w:eastAsia="楷体_GB2312"/>
          <w:b/>
          <w:sz w:val="32"/>
        </w:rPr>
      </w:pPr>
      <w:r>
        <w:rPr>
          <w:rFonts w:ascii="楷体_GB2312" w:eastAsia="楷体_GB2312"/>
          <w:b/>
          <w:sz w:val="32"/>
        </w:rPr>
        <w:t>（一）收入总计78353.03万元，包括：</w:t>
      </w:r>
      <w:r>
        <w:rPr>
          <w:rFonts w:hint="default" w:ascii="楷体_GB2312" w:eastAsia="楷体_GB2312"/>
          <w:b/>
          <w:sz w:val="32"/>
        </w:rPr>
        <w:t xml:space="preserve"> </w:t>
      </w:r>
    </w:p>
    <w:p w14:paraId="43020A44">
      <w:pPr>
        <w:pStyle w:val="7"/>
        <w:spacing w:line="560" w:lineRule="exact"/>
        <w:ind w:firstLine="660"/>
        <w:rPr>
          <w:rFonts w:hint="default" w:ascii="仿宋_GB2312" w:eastAsia="仿宋_GB2312"/>
          <w:sz w:val="32"/>
        </w:rPr>
      </w:pPr>
      <w:r>
        <w:rPr>
          <w:rFonts w:ascii="仿宋_GB2312" w:eastAsia="仿宋_GB2312"/>
          <w:sz w:val="32"/>
        </w:rPr>
        <w:t>1.财政拨款收入73101.33万元，占收入总计的93.3%。其中：一般公共预算财政拨款收入73095.63万元，政府性基金收入5.7万元，国有资本经营预算财政拨款收入0万元。</w:t>
      </w:r>
    </w:p>
    <w:p w14:paraId="706D1AC6">
      <w:pPr>
        <w:pStyle w:val="7"/>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.事业收入142.95万元，占收入总计的0.18%。主要是高中收取学费、住宿费。</w:t>
      </w:r>
    </w:p>
    <w:p w14:paraId="50BDE48F">
      <w:pPr>
        <w:pStyle w:val="7"/>
        <w:spacing w:line="560" w:lineRule="exact"/>
        <w:ind w:firstLine="660"/>
        <w:rPr>
          <w:rFonts w:hint="default" w:ascii="仿宋_GB2312" w:eastAsia="仿宋_GB2312" w:cs="仿宋_GB2312"/>
          <w:sz w:val="32"/>
          <w:szCs w:val="32"/>
        </w:rPr>
      </w:pPr>
      <w:r>
        <w:rPr>
          <w:rFonts w:hint="eastAsia" w:ascii="仿宋_GB2312" w:eastAsia="仿宋_GB2312"/>
          <w:sz w:val="32"/>
          <w:lang w:val="en-US" w:eastAsia="zh-CN"/>
        </w:rPr>
        <w:t>3</w:t>
      </w:r>
      <w:r>
        <w:rPr>
          <w:rFonts w:ascii="仿宋_GB2312" w:eastAsia="仿宋_GB2312"/>
          <w:sz w:val="32"/>
        </w:rPr>
        <w:t>.其他收入1851.22万元，占收入总计的2.36%。</w:t>
      </w:r>
      <w:r>
        <w:rPr>
          <w:rFonts w:ascii="仿宋_GB2312" w:eastAsia="仿宋_GB2312" w:cs="仿宋_GB2312"/>
          <w:sz w:val="32"/>
          <w:szCs w:val="32"/>
        </w:rPr>
        <w:t>主要是捐赠收入、非本级财政拨款等收入。</w:t>
      </w:r>
    </w:p>
    <w:p w14:paraId="63B88B48">
      <w:pPr>
        <w:pStyle w:val="7"/>
        <w:spacing w:line="560" w:lineRule="exact"/>
        <w:ind w:firstLine="660"/>
        <w:rPr>
          <w:rFonts w:hint="default" w:ascii="仿宋_GB2312" w:eastAsia="仿宋_GB2312" w:cs="Times New Roman"/>
          <w:sz w:val="32"/>
          <w:szCs w:val="32"/>
        </w:rPr>
      </w:pPr>
      <w:r>
        <w:rPr>
          <w:rFonts w:hint="eastAsia" w:ascii="仿宋_GB2312" w:eastAsia="仿宋_GB2312"/>
          <w:sz w:val="32"/>
          <w:lang w:val="en-US" w:eastAsia="zh-CN"/>
        </w:rPr>
        <w:t>4</w:t>
      </w:r>
      <w:r>
        <w:rPr>
          <w:rFonts w:ascii="仿宋_GB2312" w:eastAsia="仿宋_GB2312"/>
          <w:sz w:val="32"/>
        </w:rPr>
        <w:t>.上年结转和结余3257.54万元，占收入总计的4.16%。</w:t>
      </w:r>
      <w:r>
        <w:rPr>
          <w:rFonts w:ascii="仿宋_GB2312" w:eastAsia="仿宋_GB2312" w:cs="仿宋_GB2312"/>
          <w:sz w:val="32"/>
          <w:szCs w:val="32"/>
        </w:rPr>
        <w:t>主要是结转的上级专项资金等。</w:t>
      </w:r>
    </w:p>
    <w:p w14:paraId="63DEC20D">
      <w:pPr>
        <w:pStyle w:val="7"/>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与上年相比，今年收入减少36576.34万元，降低31.83%，主要原因：</w:t>
      </w:r>
      <w:r>
        <w:rPr>
          <w:rFonts w:ascii="黑体" w:eastAsia="黑体"/>
          <w:sz w:val="32"/>
        </w:rPr>
        <w:t>一是</w:t>
      </w:r>
      <w:r>
        <w:rPr>
          <w:rFonts w:ascii="仿宋_GB2312" w:eastAsia="仿宋_GB2312"/>
          <w:sz w:val="32"/>
        </w:rPr>
        <w:t>本年结转结余资金减少；</w:t>
      </w:r>
      <w:r>
        <w:rPr>
          <w:rFonts w:ascii="黑体" w:eastAsia="黑体"/>
          <w:sz w:val="32"/>
        </w:rPr>
        <w:t>二是</w:t>
      </w:r>
      <w:r>
        <w:rPr>
          <w:rFonts w:ascii="仿宋_GB2312" w:eastAsia="仿宋_GB2312"/>
          <w:sz w:val="32"/>
        </w:rPr>
        <w:t>本年捐赠收入减少。</w:t>
      </w:r>
    </w:p>
    <w:p w14:paraId="78A5FF36">
      <w:pPr>
        <w:pStyle w:val="7"/>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（二）支出总计75526.3万元，包括：</w:t>
      </w:r>
    </w:p>
    <w:p w14:paraId="2E8ABAA6">
      <w:pPr>
        <w:pStyle w:val="7"/>
        <w:spacing w:line="560" w:lineRule="exact"/>
        <w:ind w:firstLine="660"/>
        <w:rPr>
          <w:rFonts w:hint="default" w:ascii="仿宋_GB2312" w:eastAsia="仿宋_GB2312"/>
          <w:sz w:val="32"/>
        </w:rPr>
      </w:pPr>
      <w:r>
        <w:rPr>
          <w:rFonts w:ascii="仿宋_GB2312" w:eastAsia="仿宋_GB2312"/>
          <w:sz w:val="32"/>
        </w:rPr>
        <w:t xml:space="preserve"> 1.基本支出47968.38万元，占支出总计的63.51%。主要是为保障机构正常运转、完成日常工作任务而发生的各项支出，其中：工资福利支出42217.41万元，对个人和家庭的补助支出3187.59万元，商品和服务支出2170.61万元，资本性支出392.77万元。</w:t>
      </w:r>
    </w:p>
    <w:p w14:paraId="66B3111E">
      <w:pPr>
        <w:pStyle w:val="7"/>
        <w:spacing w:line="560" w:lineRule="atLeast"/>
        <w:ind w:firstLine="660"/>
        <w:rPr>
          <w:rFonts w:hint="default" w:ascii="仿宋_GB2312" w:eastAsia="仿宋_GB2312" w:cs="Times New Roman"/>
          <w:sz w:val="32"/>
          <w:szCs w:val="32"/>
        </w:rPr>
      </w:pPr>
      <w:r>
        <w:rPr>
          <w:rFonts w:ascii="仿宋_GB2312" w:eastAsia="仿宋_GB2312"/>
          <w:sz w:val="32"/>
        </w:rPr>
        <w:t>2.项目支出27557.92万元，占支出总计的36.49%。</w:t>
      </w:r>
      <w:r>
        <w:rPr>
          <w:rFonts w:ascii="仿宋_GB2312" w:eastAsia="仿宋_GB2312" w:cs="仿宋_GB2312"/>
          <w:sz w:val="32"/>
          <w:szCs w:val="32"/>
        </w:rPr>
        <w:t>主要包括房屋建筑物构建、公共教育支出、校车和伙食补贴、公办幼儿园学位扩增、基本建设教育补助资金、新建学校预存电费、基础教育改善办学条件、校舍维修资金等业务支出。</w:t>
      </w:r>
    </w:p>
    <w:p w14:paraId="6A003B95">
      <w:pPr>
        <w:pStyle w:val="7"/>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与上年相比，今年支出减少36161.28万元，降低32.38%，主要原因：</w:t>
      </w:r>
      <w:r>
        <w:rPr>
          <w:rFonts w:ascii="黑体" w:eastAsia="黑体"/>
          <w:sz w:val="32"/>
        </w:rPr>
        <w:t>一是</w:t>
      </w:r>
      <w:r>
        <w:rPr>
          <w:rFonts w:ascii="仿宋_GB2312" w:eastAsia="仿宋_GB2312"/>
          <w:sz w:val="32"/>
        </w:rPr>
        <w:t>结转结余资金减少；</w:t>
      </w:r>
      <w:r>
        <w:rPr>
          <w:rFonts w:ascii="黑体" w:eastAsia="黑体"/>
          <w:sz w:val="32"/>
        </w:rPr>
        <w:t>二是</w:t>
      </w:r>
      <w:r>
        <w:rPr>
          <w:rFonts w:ascii="仿宋_GB2312" w:eastAsia="仿宋_GB2312"/>
          <w:sz w:val="32"/>
        </w:rPr>
        <w:t>项目支出较上年度减少。</w:t>
      </w:r>
    </w:p>
    <w:p w14:paraId="53ECE161">
      <w:pPr>
        <w:pStyle w:val="7"/>
        <w:spacing w:line="560" w:lineRule="exact"/>
        <w:ind w:firstLine="660"/>
        <w:rPr>
          <w:rFonts w:hint="default" w:ascii="楷体_GB2312" w:eastAsia="楷体_GB2312"/>
          <w:b/>
          <w:sz w:val="32"/>
        </w:rPr>
      </w:pPr>
      <w:r>
        <w:rPr>
          <w:rFonts w:ascii="楷体_GB2312" w:eastAsia="楷体_GB2312"/>
          <w:b/>
          <w:sz w:val="32"/>
        </w:rPr>
        <w:t>（三）年末结转和结余2826.73万元</w:t>
      </w:r>
    </w:p>
    <w:p w14:paraId="06649171">
      <w:pPr>
        <w:spacing w:line="540" w:lineRule="exact"/>
        <w:ind w:firstLine="660"/>
        <w:rPr>
          <w:rFonts w:hint="default" w:ascii="仿宋_GB2312" w:hAnsi="宋体" w:eastAsia="仿宋_GB2312"/>
          <w:sz w:val="32"/>
          <w:szCs w:val="32"/>
        </w:rPr>
      </w:pPr>
      <w:r>
        <w:rPr>
          <w:rFonts w:ascii="仿宋_GB2312" w:eastAsia="仿宋_GB2312"/>
          <w:sz w:val="32"/>
        </w:rPr>
        <w:t>主要是</w:t>
      </w:r>
      <w:r>
        <w:rPr>
          <w:rFonts w:ascii="仿宋_GB2312" w:eastAsia="仿宋_GB2312" w:cs="仿宋_GB2312"/>
          <w:sz w:val="32"/>
          <w:szCs w:val="32"/>
        </w:rPr>
        <w:t>为了保障机构正常运转、完成日常工作任务等原因形成的</w:t>
      </w:r>
      <w:r>
        <w:rPr>
          <w:rFonts w:ascii="仿宋_GB2312" w:eastAsia="仿宋_GB2312"/>
          <w:sz w:val="32"/>
        </w:rPr>
        <w:t>结余。与上年相比，今年结转结余减少415.06万元，降低12.8%，主要原因：</w:t>
      </w:r>
      <w:r>
        <w:rPr>
          <w:rFonts w:ascii="黑体" w:eastAsia="黑体" w:cs="黑体"/>
          <w:sz w:val="32"/>
          <w:szCs w:val="32"/>
        </w:rPr>
        <w:t>一是</w:t>
      </w:r>
      <w:r>
        <w:rPr>
          <w:rFonts w:ascii="仿宋_GB2312" w:hAnsi="黑体" w:eastAsia="仿宋_GB2312" w:cs="仿宋_GB2312"/>
          <w:sz w:val="32"/>
          <w:szCs w:val="32"/>
        </w:rPr>
        <w:t>本年度</w:t>
      </w:r>
      <w:r>
        <w:rPr>
          <w:rFonts w:ascii="仿宋_GB2312" w:hAnsi="宋体" w:eastAsia="仿宋_GB2312" w:cs="仿宋_GB2312"/>
          <w:sz w:val="32"/>
          <w:szCs w:val="32"/>
        </w:rPr>
        <w:t>基建项目及设备采购项目具备付款条件予以支付</w:t>
      </w:r>
      <w:r>
        <w:rPr>
          <w:rFonts w:ascii="仿宋_GB2312" w:eastAsia="仿宋_GB2312" w:cs="仿宋_GB2312"/>
          <w:sz w:val="32"/>
          <w:szCs w:val="32"/>
        </w:rPr>
        <w:t>；</w:t>
      </w:r>
      <w:r>
        <w:rPr>
          <w:rFonts w:ascii="黑体" w:eastAsia="黑体" w:cs="黑体"/>
          <w:sz w:val="32"/>
          <w:szCs w:val="32"/>
        </w:rPr>
        <w:t>二是</w:t>
      </w:r>
      <w:r>
        <w:rPr>
          <w:rFonts w:ascii="仿宋_GB2312" w:eastAsia="仿宋_GB2312" w:cs="仿宋_GB2312"/>
          <w:sz w:val="32"/>
          <w:szCs w:val="32"/>
        </w:rPr>
        <w:t>会计核算方式以收付实现制为主。</w:t>
      </w:r>
    </w:p>
    <w:p w14:paraId="48ABC303">
      <w:pPr>
        <w:pStyle w:val="7"/>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14:paraId="1CC9DA15">
      <w:pPr>
        <w:pStyle w:val="7"/>
        <w:spacing w:line="560" w:lineRule="exact"/>
        <w:ind w:firstLine="660"/>
        <w:rPr>
          <w:rFonts w:hint="default" w:ascii="楷体_GB2312" w:eastAsia="楷体_GB2312"/>
          <w:b/>
          <w:sz w:val="32"/>
        </w:rPr>
      </w:pPr>
      <w:r>
        <w:rPr>
          <w:rFonts w:ascii="楷体_GB2312" w:eastAsia="楷体_GB2312"/>
          <w:b/>
          <w:sz w:val="32"/>
        </w:rPr>
        <w:t>（一）总体情况</w:t>
      </w:r>
    </w:p>
    <w:p w14:paraId="71DAC498">
      <w:pPr>
        <w:pStyle w:val="7"/>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2022年度财政拨款支出75526.3万元，其中：基本支出47968.38万元，项目支出27557.92万元。与上年相比，财政拨款支出减少36161.28万元，降低32.38%，主要原因：</w:t>
      </w:r>
      <w:r>
        <w:rPr>
          <w:rFonts w:ascii="黑体" w:eastAsia="黑体"/>
          <w:sz w:val="32"/>
        </w:rPr>
        <w:t>一是</w:t>
      </w:r>
      <w:r>
        <w:rPr>
          <w:rFonts w:ascii="仿宋_GB2312" w:eastAsia="仿宋_GB2312"/>
          <w:sz w:val="32"/>
        </w:rPr>
        <w:t>结转结余资金减少；</w:t>
      </w:r>
      <w:r>
        <w:rPr>
          <w:rFonts w:ascii="黑体" w:eastAsia="黑体"/>
          <w:sz w:val="32"/>
        </w:rPr>
        <w:t>二是</w:t>
      </w:r>
      <w:r>
        <w:rPr>
          <w:rFonts w:ascii="仿宋_GB2312" w:eastAsia="仿宋_GB2312"/>
          <w:sz w:val="32"/>
        </w:rPr>
        <w:t>项目支出较上年度减少。与年初预算相比，2022年度财政拨款支出完成年初预算的93.27%，其中：基本支出完成年初预算的119.32%，项目支出完成年初预算的67.58%。</w:t>
      </w:r>
    </w:p>
    <w:p w14:paraId="1DAB286F">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14:paraId="7B58E1B2">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2022年度一般公共预算财政拨款支出73095.63万元，按支出功能分类科目分，包括：</w:t>
      </w:r>
      <w:r>
        <w:rPr>
          <w:rFonts w:ascii="仿宋_GB2312" w:hAnsi="宋体" w:eastAsia="仿宋_GB2312" w:cs="仿宋_GB2312"/>
          <w:sz w:val="32"/>
          <w:szCs w:val="32"/>
        </w:rPr>
        <w:t>一般公共服务支出2.87万元，占0.004%；教育支出66163.72万元，占90.52%；社会保障和就业支出4851.41万元，占6.63%；卫生健康支出2029.24万元，占2.78%；住房保障支出48.4万元，占0.066%。</w:t>
      </w:r>
    </w:p>
    <w:p w14:paraId="3F331245">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1.一般公共服务支出2.87万元，具体包括：</w:t>
      </w:r>
    </w:p>
    <w:p w14:paraId="31220426">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（1）一般公共服务支出（类）财政事务（款）行政运行（项）2.87万元，主要是</w:t>
      </w:r>
      <w:r>
        <w:rPr>
          <w:rFonts w:ascii="仿宋_GB2312" w:hAnsi="宋体" w:eastAsia="仿宋_GB2312" w:cs="仿宋_GB2312"/>
          <w:sz w:val="32"/>
          <w:szCs w:val="32"/>
        </w:rPr>
        <w:t>信访事务等支出</w:t>
      </w:r>
      <w:r>
        <w:rPr>
          <w:rFonts w:ascii="仿宋_GB2312" w:hAnsi="宋体" w:eastAsia="仿宋_GB2312"/>
          <w:sz w:val="32"/>
          <w:szCs w:val="32"/>
        </w:rPr>
        <w:t>，</w:t>
      </w:r>
      <w:r>
        <w:rPr>
          <w:rFonts w:ascii="仿宋_GB2312" w:hAnsi="宋体" w:eastAsia="仿宋_GB2312" w:cs="仿宋_GB2312"/>
          <w:sz w:val="32"/>
          <w:szCs w:val="32"/>
        </w:rPr>
        <w:t>完成年初预算的100%。</w:t>
      </w:r>
    </w:p>
    <w:p w14:paraId="1070E670">
      <w:pPr>
        <w:spacing w:line="560" w:lineRule="exact"/>
        <w:ind w:firstLine="660"/>
        <w:rPr>
          <w:rFonts w:hint="default" w:ascii="仿宋_GB2312" w:hAnsi="宋体" w:eastAsia="仿宋_GB2312"/>
          <w:sz w:val="32"/>
          <w:szCs w:val="32"/>
        </w:rPr>
      </w:pPr>
      <w:r>
        <w:rPr>
          <w:rFonts w:ascii="仿宋_GB2312" w:hAnsi="宋体" w:eastAsia="仿宋_GB2312" w:cs="仿宋_GB2312"/>
          <w:sz w:val="32"/>
          <w:szCs w:val="32"/>
        </w:rPr>
        <w:t>2.教育支出66163.72万元，具体包括：</w:t>
      </w:r>
    </w:p>
    <w:p w14:paraId="37C7930A">
      <w:pPr>
        <w:spacing w:line="540" w:lineRule="exact"/>
        <w:ind w:firstLine="660"/>
        <w:rPr>
          <w:rFonts w:hint="default" w:ascii="仿宋_GB2312" w:hAnsi="宋体" w:eastAsia="仿宋_GB2312"/>
          <w:sz w:val="32"/>
          <w:szCs w:val="32"/>
        </w:rPr>
      </w:pPr>
      <w:r>
        <w:rPr>
          <w:rFonts w:ascii="仿宋_GB2312" w:eastAsia="仿宋_GB2312" w:cs="仿宋_GB2312"/>
          <w:sz w:val="32"/>
          <w:szCs w:val="32"/>
        </w:rPr>
        <w:t>（1）行政运行287.26万元，主要是用于在职人员工资保险、公积金、办公经费等支出，完成年初预算的90.93%，</w:t>
      </w:r>
      <w:r>
        <w:rPr>
          <w:rFonts w:ascii="仿宋_GB2312" w:hAnsi="宋体" w:eastAsia="仿宋_GB2312" w:cs="仿宋_GB2312"/>
          <w:sz w:val="32"/>
          <w:szCs w:val="32"/>
        </w:rPr>
        <w:t>决算数小于年初预算数的原因主要是本年度有人员调出，人人员工资实际小于大于预算金额。</w:t>
      </w:r>
    </w:p>
    <w:p w14:paraId="41DFB60D">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（2）一般</w:t>
      </w:r>
      <w:bookmarkStart w:id="0" w:name="_GoBack"/>
      <w:bookmarkEnd w:id="0"/>
      <w:r>
        <w:rPr>
          <w:rFonts w:hint="eastAsia" w:ascii="仿宋_GB2312" w:eastAsia="仿宋_GB2312" w:cs="仿宋_GB2312"/>
          <w:sz w:val="32"/>
          <w:szCs w:val="32"/>
          <w:lang w:eastAsia="zh-CN"/>
        </w:rPr>
        <w:t>行政管理事务</w:t>
      </w:r>
      <w:r>
        <w:rPr>
          <w:rFonts w:ascii="仿宋_GB2312" w:eastAsia="仿宋_GB2312" w:cs="仿宋_GB2312"/>
          <w:sz w:val="32"/>
          <w:szCs w:val="32"/>
        </w:rPr>
        <w:t>5.6万元，主要用于在职人员绩效工资支出，完成年初预算的32.29%。决算数小于年初预算数的原因主要是本年度绩效、车补等项目实际支出数较预算减少。</w:t>
      </w:r>
    </w:p>
    <w:p w14:paraId="15FC5BF1">
      <w:pPr>
        <w:spacing w:line="540" w:lineRule="exact"/>
        <w:ind w:firstLine="660"/>
        <w:rPr>
          <w:rFonts w:hint="default" w:ascii="仿宋_GB2312" w:eastAsia="仿宋_GB2312"/>
          <w:sz w:val="32"/>
          <w:szCs w:val="32"/>
        </w:rPr>
      </w:pPr>
      <w:r>
        <w:rPr>
          <w:rFonts w:ascii="仿宋_GB2312" w:eastAsia="仿宋_GB2312" w:cs="仿宋_GB2312"/>
          <w:sz w:val="32"/>
          <w:szCs w:val="32"/>
        </w:rPr>
        <w:t>（3）学前教育5182.12万元，主要用于幼儿园保育教育费、学前奖补相关支出，完成年初预算的47.4%，</w:t>
      </w:r>
      <w:r>
        <w:rPr>
          <w:rFonts w:ascii="仿宋_GB2312" w:hAnsi="宋体" w:eastAsia="仿宋_GB2312" w:cs="仿宋_GB2312"/>
          <w:sz w:val="32"/>
          <w:szCs w:val="32"/>
        </w:rPr>
        <w:t>决算数</w:t>
      </w:r>
      <w:r>
        <w:rPr>
          <w:rFonts w:ascii="仿宋_GB2312" w:eastAsia="仿宋_GB2312" w:cs="仿宋_GB2312"/>
          <w:sz w:val="32"/>
          <w:szCs w:val="32"/>
        </w:rPr>
        <w:t>小于</w:t>
      </w:r>
      <w:r>
        <w:rPr>
          <w:rFonts w:ascii="仿宋_GB2312" w:hAnsi="宋体" w:eastAsia="仿宋_GB2312" w:cs="仿宋_GB2312"/>
          <w:sz w:val="32"/>
          <w:szCs w:val="32"/>
        </w:rPr>
        <w:t>年初预算数的原因主要是公办</w:t>
      </w:r>
      <w:r>
        <w:rPr>
          <w:rFonts w:ascii="仿宋_GB2312" w:eastAsia="仿宋_GB2312" w:cs="仿宋_GB2312"/>
          <w:sz w:val="32"/>
          <w:szCs w:val="32"/>
        </w:rPr>
        <w:t>幼儿园学前奖补资金直接拨至各相关单位账户，受疫情影响，本年度幼儿园停园时间较长，未收取保育教育费</w:t>
      </w:r>
      <w:r>
        <w:rPr>
          <w:rFonts w:ascii="仿宋_GB2312" w:hAnsi="宋体" w:eastAsia="仿宋_GB2312" w:cs="仿宋_GB2312"/>
          <w:sz w:val="32"/>
          <w:szCs w:val="32"/>
        </w:rPr>
        <w:t>。</w:t>
      </w:r>
    </w:p>
    <w:p w14:paraId="679A2B89">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4）小学教育29012.31万元，主要用于支付学校基本建设支出、生均公用经费支出等，完成年初预算的362.65%，决算书大于年初预算数的原因主要是本年新建设学校工程款支出金额较大，年初预算部分资金列入其他教育支出，实际执行中列入小学教育。</w:t>
      </w:r>
    </w:p>
    <w:p w14:paraId="4D3200A7">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5）初中教育20269.13万元，主要用于生均公用经费支出、房屋建筑物构建相关支出等，完成年初预算的202.69%，决算书大于年初预算数的原因主要是本年新建设学校工程款支出金额较大，年初预算部分资金列入其他教育支出，实际执行中列入初中教育。</w:t>
      </w:r>
    </w:p>
    <w:p w14:paraId="3FF72E04">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（6）高中教育3792.14万元，主要用于生均公用经费支出、房屋建筑物构建相关支出等，完成年初预算的100%，因项目支出预算在局本级编报，均按照实际发生额列支，因此100%完成。</w:t>
      </w:r>
    </w:p>
    <w:p w14:paraId="6B4C34DE">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7）其他普通教育支出4573.21万元，主要用于校车经费、基础设施建设、房屋建筑物构建等支出，完成年初预算的23.21%，决算数小于年初预算数的原因主要是新建学校建设项目未达到付款条件，未安排资金支付，部分项目年初安排其他教育支出，实际执行中按照实际情况列入各级教育支出。</w:t>
      </w:r>
    </w:p>
    <w:p w14:paraId="0AD4508C">
      <w:pPr>
        <w:pStyle w:val="7"/>
        <w:spacing w:line="560" w:lineRule="atLeast"/>
        <w:ind w:firstLine="660"/>
        <w:rPr>
          <w:rFonts w:ascii="仿宋_GB2312" w:eastAsia="仿宋_GB2312" w:cs="仿宋_GB2312"/>
          <w:sz w:val="32"/>
          <w:szCs w:val="32"/>
        </w:rPr>
      </w:pPr>
      <w:r>
        <w:rPr>
          <w:rFonts w:ascii="仿宋_GB2312" w:eastAsia="仿宋_GB2312" w:cs="仿宋_GB2312"/>
          <w:sz w:val="32"/>
          <w:szCs w:val="32"/>
        </w:rPr>
        <w:t>（8）中等职业教育332.06万元，主要用于中职学校免学费、助学金相关支出等，完成年初预算的100%，因项目支出预算在局本级编报，均按照实际发生额列支，因此100%完成。</w:t>
      </w:r>
    </w:p>
    <w:p w14:paraId="72C04477">
      <w:pPr>
        <w:pStyle w:val="7"/>
        <w:spacing w:line="560" w:lineRule="atLeast"/>
        <w:ind w:firstLine="660"/>
        <w:rPr>
          <w:rFonts w:hint="default" w:ascii="仿宋_GB2312" w:eastAsia="仿宋_GB2312" w:cs="仿宋_GB2312"/>
          <w:sz w:val="32"/>
          <w:szCs w:val="32"/>
        </w:rPr>
      </w:pPr>
      <w:r>
        <w:rPr>
          <w:rFonts w:ascii="仿宋_GB2312" w:eastAsia="仿宋_GB2312" w:cs="仿宋_GB2312"/>
          <w:sz w:val="32"/>
          <w:szCs w:val="32"/>
        </w:rPr>
        <w:t>（9）特殊学校教育331.36万元，主要用于特殊教育学校相关支出等，完成年初预算的100%，因项目支出预算在局本级编报，均按照实际发生额列支，因此100%完成。</w:t>
      </w:r>
    </w:p>
    <w:p w14:paraId="52889356">
      <w:pPr>
        <w:pStyle w:val="7"/>
        <w:spacing w:line="560" w:lineRule="atLeast"/>
        <w:ind w:firstLine="660"/>
        <w:rPr>
          <w:rFonts w:ascii="仿宋_GB2312" w:eastAsia="仿宋_GB2312" w:cs="仿宋_GB2312"/>
          <w:sz w:val="32"/>
          <w:szCs w:val="32"/>
        </w:rPr>
      </w:pPr>
      <w:r>
        <w:rPr>
          <w:rFonts w:ascii="仿宋_GB2312" w:eastAsia="仿宋_GB2312" w:cs="仿宋_GB2312"/>
          <w:sz w:val="32"/>
          <w:szCs w:val="32"/>
        </w:rPr>
        <w:t>（9）教育费附加安排的支出2376.12万元，主要用于房屋建筑物构建等相关支出，完成年初预算的100%，因项目支出预算在局本级编报，均按照实际发生额列支，因此100%完成。</w:t>
      </w:r>
    </w:p>
    <w:p w14:paraId="587426AA">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（10）其他教育支出2.35万元，主要用于教育系统其他等相关支出，完成年初预算的3.3%，决算数小于年初预算数的原因主要是人事调整等原因。</w:t>
      </w:r>
    </w:p>
    <w:p w14:paraId="7301B27C">
      <w:pPr>
        <w:pStyle w:val="7"/>
        <w:spacing w:line="560" w:lineRule="atLeast"/>
        <w:ind w:firstLine="640" w:firstLineChars="200"/>
        <w:rPr>
          <w:rFonts w:hint="default" w:ascii="仿宋_GB2312" w:eastAsia="仿宋_GB2312" w:cs="Times New Roman"/>
          <w:sz w:val="32"/>
          <w:szCs w:val="32"/>
        </w:rPr>
      </w:pPr>
      <w:r>
        <w:rPr>
          <w:rFonts w:ascii="仿宋_GB2312" w:eastAsia="仿宋_GB2312" w:cs="仿宋_GB2312"/>
          <w:sz w:val="32"/>
          <w:szCs w:val="32"/>
        </w:rPr>
        <w:t>3.社会保障和就业支出4851.41万元，具体包括：</w:t>
      </w:r>
    </w:p>
    <w:p w14:paraId="48355EA9">
      <w:pPr>
        <w:pStyle w:val="11"/>
        <w:spacing w:line="540" w:lineRule="exact"/>
        <w:ind w:left="420" w:firstLine="0" w:firstLineChars="0"/>
        <w:rPr>
          <w:rFonts w:ascii="仿宋_GB2312" w:hAnsi="宋体" w:eastAsia="仿宋_GB2312" w:cs="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）归口管理的行政单位离退休23.82万元，主要是区</w:t>
      </w:r>
    </w:p>
    <w:p w14:paraId="1266F263">
      <w:pPr>
        <w:spacing w:line="540" w:lineRule="exact"/>
        <w:rPr>
          <w:rFonts w:ascii="仿宋_GB2312" w:hAnsi="宋体" w:eastAsia="仿宋_GB2312" w:cs="仿宋_GB2312"/>
          <w:sz w:val="32"/>
          <w:szCs w:val="32"/>
        </w:rPr>
      </w:pPr>
      <w:r>
        <w:rPr>
          <w:rFonts w:ascii="仿宋_GB2312" w:hAnsi="宋体" w:eastAsia="仿宋_GB2312" w:cs="仿宋_GB2312"/>
          <w:sz w:val="32"/>
          <w:szCs w:val="32"/>
        </w:rPr>
        <w:t>教育局离休人员工资等支出，完成年初预算的98.15%，决算数小于年初预算数的原因主要是离休人员去世等原因。</w:t>
      </w:r>
    </w:p>
    <w:p w14:paraId="03191417">
      <w:pPr>
        <w:pStyle w:val="11"/>
        <w:spacing w:line="540" w:lineRule="exact"/>
        <w:ind w:left="420" w:firstLine="0" w:firstLineChars="0"/>
        <w:rPr>
          <w:rFonts w:ascii="仿宋_GB2312" w:hAnsi="宋体" w:eastAsia="仿宋_GB2312" w:cs="仿宋_GB2312"/>
          <w:sz w:val="32"/>
          <w:szCs w:val="32"/>
        </w:rPr>
      </w:pPr>
      <w:r>
        <w:rPr>
          <w:rFonts w:hint="eastAsia" w:ascii="仿宋_GB2312" w:hAnsi="宋体" w:eastAsia="仿宋_GB2312" w:cs="仿宋_GB2312"/>
          <w:sz w:val="32"/>
          <w:szCs w:val="32"/>
        </w:rPr>
        <w:t>（2）归口管理的事业单位离退休325.81万元，主要是区</w:t>
      </w:r>
    </w:p>
    <w:p w14:paraId="6E1386AA">
      <w:pPr>
        <w:pStyle w:val="7"/>
        <w:spacing w:line="560" w:lineRule="atLeast"/>
        <w:ind w:firstLine="660"/>
        <w:rPr>
          <w:rFonts w:hint="default" w:ascii="仿宋_GB2312" w:eastAsia="仿宋_GB2312" w:cs="仿宋_GB2312"/>
          <w:sz w:val="32"/>
          <w:szCs w:val="32"/>
        </w:rPr>
      </w:pPr>
      <w:r>
        <w:rPr>
          <w:rFonts w:ascii="仿宋_GB2312" w:eastAsia="仿宋_GB2312" w:cs="仿宋_GB2312"/>
          <w:sz w:val="32"/>
          <w:szCs w:val="32"/>
        </w:rPr>
        <w:t>教育局离休人员工资等支出，完成年初预算的100%，因项目支出预算在局本级编报，均按照实际发生额列支，因此100%完成。</w:t>
      </w:r>
    </w:p>
    <w:p w14:paraId="3ECD4FB6">
      <w:pPr>
        <w:pStyle w:val="7"/>
        <w:spacing w:line="560" w:lineRule="atLeast"/>
        <w:ind w:firstLine="660"/>
        <w:rPr>
          <w:rFonts w:ascii="仿宋_GB2312" w:eastAsia="仿宋_GB2312" w:cs="仿宋_GB2312"/>
          <w:sz w:val="32"/>
          <w:szCs w:val="32"/>
        </w:rPr>
      </w:pPr>
      <w:r>
        <w:rPr>
          <w:rFonts w:ascii="仿宋_GB2312" w:eastAsia="仿宋_GB2312" w:cs="仿宋_GB2312"/>
          <w:sz w:val="32"/>
          <w:szCs w:val="32"/>
        </w:rPr>
        <w:t>（3）机关事业单位基本养老保险缴费4300.58万元，主要是区教育局及下属各学校在职人员养老保险缴费等支出，完成年初预算的100%，因项目支出预算在局本级编报，均按照实际发生额列支，因此100%完成。</w:t>
      </w:r>
    </w:p>
    <w:p w14:paraId="0DAAAAEC">
      <w:pPr>
        <w:pStyle w:val="7"/>
        <w:spacing w:line="560" w:lineRule="atLeast"/>
        <w:ind w:firstLine="660"/>
        <w:rPr>
          <w:rFonts w:ascii="仿宋_GB2312" w:eastAsia="仿宋_GB2312" w:cs="仿宋_GB2312"/>
          <w:sz w:val="32"/>
          <w:szCs w:val="32"/>
        </w:rPr>
      </w:pPr>
      <w:r>
        <w:rPr>
          <w:rFonts w:ascii="仿宋_GB2312" w:eastAsia="仿宋_GB2312" w:cs="仿宋_GB2312"/>
          <w:sz w:val="32"/>
          <w:szCs w:val="32"/>
        </w:rPr>
        <w:t>（4）事业单位职业年金缴费167.96万元，主要是区教育局及下属各学校在职人员职业年金等支出，完成年初预算的156.2%，决算数大于年初预算数的原因主要是人事调整等原因。</w:t>
      </w:r>
    </w:p>
    <w:p w14:paraId="133D3B77">
      <w:pPr>
        <w:pStyle w:val="7"/>
        <w:spacing w:line="560" w:lineRule="atLeast"/>
        <w:ind w:firstLine="660"/>
        <w:rPr>
          <w:rFonts w:ascii="仿宋_GB2312" w:eastAsia="仿宋_GB2312" w:cs="仿宋_GB2312"/>
          <w:sz w:val="32"/>
          <w:szCs w:val="32"/>
        </w:rPr>
      </w:pPr>
      <w:r>
        <w:rPr>
          <w:rFonts w:ascii="仿宋_GB2312" w:eastAsia="仿宋_GB2312" w:cs="仿宋_GB2312"/>
          <w:sz w:val="32"/>
          <w:szCs w:val="32"/>
        </w:rPr>
        <w:t>4.伤残抚恤金支出33.24万元，包括：</w:t>
      </w:r>
    </w:p>
    <w:p w14:paraId="7B1F543F">
      <w:pPr>
        <w:pStyle w:val="7"/>
        <w:spacing w:line="560" w:lineRule="atLeast"/>
        <w:ind w:firstLine="660"/>
        <w:rPr>
          <w:rFonts w:ascii="仿宋_GB2312" w:eastAsia="仿宋_GB2312" w:cs="仿宋_GB2312"/>
          <w:sz w:val="32"/>
          <w:szCs w:val="32"/>
        </w:rPr>
      </w:pPr>
      <w:r>
        <w:rPr>
          <w:rFonts w:ascii="仿宋_GB2312" w:eastAsia="仿宋_GB2312" w:cs="仿宋_GB2312"/>
          <w:sz w:val="32"/>
          <w:szCs w:val="32"/>
        </w:rPr>
        <w:t>事业单位伤残抚恤金33.24万元，主要是区教育局及下属各学校在职人员伤残抚恤金等支出，完成年初预算的100%，因项目支出预算在局本级编报，均按照实际发生额列支，因此100%完成。</w:t>
      </w:r>
    </w:p>
    <w:p w14:paraId="128AE645">
      <w:pPr>
        <w:pStyle w:val="7"/>
        <w:spacing w:line="560" w:lineRule="atLeast"/>
        <w:ind w:firstLine="660"/>
        <w:rPr>
          <w:rFonts w:ascii="仿宋_GB2312" w:eastAsia="仿宋_GB2312"/>
          <w:sz w:val="32"/>
          <w:szCs w:val="32"/>
        </w:rPr>
      </w:pPr>
      <w:r>
        <w:rPr>
          <w:rFonts w:ascii="仿宋_GB2312" w:eastAsia="仿宋_GB2312" w:cs="仿宋_GB2312"/>
          <w:sz w:val="32"/>
          <w:szCs w:val="32"/>
        </w:rPr>
        <w:t>5.卫生健康支出2029.24万元，包括：</w:t>
      </w:r>
    </w:p>
    <w:p w14:paraId="7C9B6FDA">
      <w:pPr>
        <w:spacing w:line="54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（1）行政单位医疗9.83万元，主要是区教育局在职人员医疗保险缴纳等支出，完成年初预算的100.8%，决算数大于年初预算数的原因主要是本年度医保基数上调等原因。</w:t>
      </w:r>
    </w:p>
    <w:p w14:paraId="19730304">
      <w:pPr>
        <w:spacing w:line="540" w:lineRule="exact"/>
        <w:ind w:firstLine="640" w:firstLineChars="200"/>
        <w:rPr>
          <w:rFonts w:hint="default" w:ascii="仿宋_GB2312" w:hAnsi="宋体" w:eastAsia="仿宋_GB2312"/>
          <w:sz w:val="32"/>
          <w:szCs w:val="32"/>
        </w:rPr>
      </w:pPr>
      <w:r>
        <w:rPr>
          <w:rFonts w:ascii="仿宋_GB2312" w:hAnsi="宋体" w:eastAsia="仿宋_GB2312" w:cs="仿宋_GB2312"/>
          <w:sz w:val="32"/>
          <w:szCs w:val="32"/>
        </w:rPr>
        <w:t>（2）事业单位医疗1868.17万元，主要是区教育局在职人员医疗保险缴纳等支出，完成年初预算的100.8%，决算数大于年初预算数的原因主要是本年度医保基数上调等原因。</w:t>
      </w:r>
    </w:p>
    <w:p w14:paraId="5767F4ED">
      <w:pPr>
        <w:spacing w:line="54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（3）公务员医疗补助2.12万元，主要是区教育局在职人员医疗补助支出，完成年初预算的95.5%，决算数小于年初预算数的原因主要是区教育局在职人员调整。</w:t>
      </w:r>
    </w:p>
    <w:p w14:paraId="092EEB5F">
      <w:pPr>
        <w:pStyle w:val="7"/>
        <w:spacing w:line="560" w:lineRule="atLeast"/>
        <w:ind w:firstLine="660"/>
        <w:rPr>
          <w:rFonts w:ascii="仿宋_GB2312" w:eastAsia="仿宋_GB2312" w:cs="仿宋_GB2312"/>
          <w:sz w:val="32"/>
          <w:szCs w:val="32"/>
        </w:rPr>
      </w:pPr>
      <w:r>
        <w:rPr>
          <w:rFonts w:ascii="仿宋_GB2312" w:eastAsia="仿宋_GB2312" w:cs="仿宋_GB2312"/>
          <w:sz w:val="32"/>
          <w:szCs w:val="32"/>
        </w:rPr>
        <w:t>（4）其他行政事业单位医疗支出149.12万元，主要是区教育局在职人员医疗补助支出，完成年初预算的100%，因项目支出预算在局本级编报，均按照实际发生额列支，因此100%完成。</w:t>
      </w:r>
    </w:p>
    <w:p w14:paraId="161CCD82">
      <w:pPr>
        <w:spacing w:line="540" w:lineRule="exact"/>
        <w:ind w:firstLine="640" w:firstLineChars="200"/>
        <w:rPr>
          <w:rFonts w:hint="default" w:ascii="仿宋_GB2312" w:hAnsi="宋体" w:eastAsia="仿宋_GB2312"/>
          <w:sz w:val="32"/>
          <w:szCs w:val="32"/>
        </w:rPr>
      </w:pPr>
      <w:r>
        <w:rPr>
          <w:rFonts w:ascii="仿宋_GB2312" w:hAnsi="宋体" w:eastAsia="仿宋_GB2312" w:cs="仿宋_GB2312"/>
          <w:sz w:val="32"/>
          <w:szCs w:val="32"/>
        </w:rPr>
        <w:t>5.住房保障支出</w:t>
      </w:r>
      <w:r>
        <w:rPr>
          <w:rFonts w:ascii="仿宋_GB2312" w:eastAsia="仿宋_GB2312" w:cs="仿宋_GB2312"/>
          <w:sz w:val="32"/>
          <w:szCs w:val="32"/>
        </w:rPr>
        <w:t>48.4</w:t>
      </w:r>
      <w:r>
        <w:rPr>
          <w:rFonts w:ascii="仿宋_GB2312" w:hAnsi="宋体" w:eastAsia="仿宋_GB2312" w:cs="仿宋_GB2312"/>
          <w:sz w:val="32"/>
          <w:szCs w:val="32"/>
        </w:rPr>
        <w:t>万元，具体包括：</w:t>
      </w:r>
    </w:p>
    <w:p w14:paraId="50B9ED05">
      <w:pPr>
        <w:pStyle w:val="7"/>
        <w:spacing w:line="560" w:lineRule="atLeast"/>
        <w:ind w:firstLine="640" w:firstLineChars="200"/>
        <w:rPr>
          <w:rFonts w:hint="default" w:ascii="仿宋_GB2312" w:eastAsia="仿宋_GB2312" w:cs="仿宋_GB2312"/>
          <w:sz w:val="32"/>
          <w:szCs w:val="32"/>
        </w:rPr>
      </w:pPr>
      <w:r>
        <w:rPr>
          <w:rFonts w:ascii="仿宋_GB2312" w:eastAsia="仿宋_GB2312" w:cs="仿宋_GB2312"/>
          <w:sz w:val="32"/>
          <w:szCs w:val="32"/>
        </w:rPr>
        <w:t>（1）住房公积金48.4元，主要是区教育局在职人员住房公积金缴纳等支出，完成年初预算的95.82%，决算数小于年初预算数的原因主要是区教育局在职人员调整。</w:t>
      </w:r>
    </w:p>
    <w:p w14:paraId="607BE745">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14:paraId="796DBF29">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2022年度政府性基金预算财政拨款支出5.7万元，按支出功能分类科目分，包括：</w:t>
      </w:r>
      <w:r>
        <w:rPr>
          <w:rFonts w:ascii="仿宋_GB2312" w:eastAsia="仿宋_GB2312" w:cs="仿宋_GB2312"/>
          <w:sz w:val="32"/>
          <w:szCs w:val="32"/>
        </w:rPr>
        <w:t>用于教育事业的彩票公益金支出5.7万元</w:t>
      </w:r>
      <w:r>
        <w:rPr>
          <w:rFonts w:ascii="仿宋_GB2312" w:hAnsi="宋体" w:eastAsia="仿宋_GB2312"/>
          <w:sz w:val="32"/>
          <w:szCs w:val="32"/>
        </w:rPr>
        <w:t>。</w:t>
      </w:r>
    </w:p>
    <w:p w14:paraId="0D03535F">
      <w:pPr>
        <w:pStyle w:val="7"/>
        <w:spacing w:line="560" w:lineRule="atLeast"/>
        <w:ind w:firstLine="660"/>
        <w:rPr>
          <w:rFonts w:hint="default" w:ascii="仿宋_GB2312" w:eastAsia="仿宋_GB2312" w:cs="Times New Roman"/>
          <w:sz w:val="32"/>
          <w:szCs w:val="32"/>
        </w:rPr>
      </w:pPr>
      <w:r>
        <w:rPr>
          <w:rFonts w:ascii="仿宋_GB2312" w:eastAsia="仿宋_GB2312" w:cs="仿宋_GB2312"/>
          <w:sz w:val="32"/>
          <w:szCs w:val="32"/>
        </w:rPr>
        <w:t>用于教育事业的彩票公益金支出5.7万元，主要用于学生资助等相关支出，完成年初预算的100%，因项目支出预算在局本级编报，均按照实际发生额列支，因此100%完成</w:t>
      </w:r>
    </w:p>
    <w:p w14:paraId="613F3A19">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（四）国有资本经营预算财政拨款支出情况。</w:t>
      </w:r>
    </w:p>
    <w:p w14:paraId="71AF488D">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14:paraId="4273E785">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6DFCF6C6">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2022年度一般公共预算财政拨款安排的“三公”经费支出0万元，完成全年预算的0%，主要原因是本单位无此项业务。其中：因公出国（境）费0万元，公务接待费0万元，公务用车购置及运行维护费0万元。</w:t>
      </w:r>
    </w:p>
    <w:p w14:paraId="000D3785">
      <w:pPr>
        <w:spacing w:line="540" w:lineRule="exact"/>
        <w:ind w:firstLine="645"/>
        <w:rPr>
          <w:rFonts w:hint="default" w:ascii="仿宋_GB2312" w:hAnsi="宋体" w:eastAsia="仿宋_GB2312"/>
          <w:sz w:val="32"/>
          <w:szCs w:val="32"/>
        </w:rPr>
      </w:pPr>
      <w:r>
        <w:rPr>
          <w:rFonts w:ascii="仿宋_GB2312" w:hAnsi="宋体" w:eastAsia="仿宋_GB2312"/>
          <w:sz w:val="32"/>
          <w:szCs w:val="32"/>
        </w:rPr>
        <w:t>1.因公出国（境）费0万元，占“三公”经费支出的0%。完成全年预算的0%，主要原因是本单位无此项业务。2022年参加出国（境）团组0个，累计0人次,主要为参加0团等。2022年因公出国（境）费比上年减少0万元，下降0%，</w:t>
      </w:r>
      <w:r>
        <w:rPr>
          <w:rFonts w:ascii="仿宋_GB2312" w:eastAsia="仿宋_GB2312" w:cs="仿宋_GB2312"/>
          <w:kern w:val="0"/>
          <w:sz w:val="32"/>
          <w:szCs w:val="32"/>
        </w:rPr>
        <w:t>主要是无出国任务。</w:t>
      </w:r>
    </w:p>
    <w:p w14:paraId="631E0183">
      <w:pPr>
        <w:spacing w:line="540" w:lineRule="exact"/>
        <w:ind w:firstLine="645"/>
        <w:rPr>
          <w:rFonts w:hint="default" w:ascii="仿宋_GB2312" w:hAnsi="宋体" w:eastAsia="仿宋_GB2312"/>
          <w:sz w:val="32"/>
          <w:szCs w:val="32"/>
        </w:rPr>
      </w:pPr>
      <w:r>
        <w:rPr>
          <w:rFonts w:ascii="仿宋_GB2312" w:hAnsi="宋体" w:eastAsia="仿宋_GB2312"/>
          <w:sz w:val="32"/>
          <w:szCs w:val="32"/>
        </w:rPr>
        <w:t>2.公务接待费0万元，占“三公”经费支出的0%。完成全年预算的0%，主要原因是本单位无此项业务。2022年国内公务接待累计0批次、0人、0万元，</w:t>
      </w:r>
      <w:r>
        <w:rPr>
          <w:rFonts w:ascii="仿宋_GB2312" w:eastAsia="仿宋_GB2312" w:cs="仿宋_GB2312"/>
          <w:sz w:val="32"/>
          <w:szCs w:val="32"/>
        </w:rPr>
        <w:t>原因主要是本单位无此业务</w:t>
      </w:r>
      <w:r>
        <w:rPr>
          <w:rFonts w:ascii="仿宋_GB2312" w:hAnsi="宋体" w:eastAsia="仿宋_GB2312"/>
          <w:sz w:val="32"/>
          <w:szCs w:val="32"/>
        </w:rPr>
        <w:t>；其中外事接待累计0批次、0人、0万元，</w:t>
      </w:r>
      <w:r>
        <w:rPr>
          <w:rFonts w:ascii="仿宋_GB2312" w:eastAsia="仿宋_GB2312" w:cs="仿宋_GB2312"/>
          <w:sz w:val="32"/>
          <w:szCs w:val="32"/>
        </w:rPr>
        <w:t>原因主要是本单位无此业务</w:t>
      </w:r>
      <w:r>
        <w:rPr>
          <w:rFonts w:ascii="仿宋_GB2312" w:hAnsi="宋体" w:eastAsia="仿宋_GB2312"/>
          <w:sz w:val="32"/>
          <w:szCs w:val="32"/>
        </w:rPr>
        <w:t>。2022年公务接待费比上年减少0万元，下降0%，主要是</w:t>
      </w:r>
      <w:r>
        <w:rPr>
          <w:rFonts w:ascii="仿宋_GB2312" w:eastAsia="仿宋_GB2312" w:cs="仿宋_GB2312"/>
          <w:kern w:val="0"/>
          <w:sz w:val="32"/>
          <w:szCs w:val="32"/>
        </w:rPr>
        <w:t>无公务接待费</w:t>
      </w:r>
      <w:r>
        <w:rPr>
          <w:rFonts w:ascii="仿宋_GB2312" w:hAnsi="宋体" w:eastAsia="仿宋_GB2312"/>
          <w:sz w:val="32"/>
          <w:szCs w:val="32"/>
        </w:rPr>
        <w:t>。</w:t>
      </w:r>
    </w:p>
    <w:p w14:paraId="0DE341C3">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3.公务用车购置及运行费0万元，占“三公”经费支出的0%。完成全年预算的0%，</w:t>
      </w:r>
      <w:r>
        <w:rPr>
          <w:rFonts w:ascii="仿宋_GB2312" w:eastAsia="仿宋_GB2312" w:cs="仿宋_GB2312"/>
          <w:sz w:val="32"/>
          <w:szCs w:val="32"/>
        </w:rPr>
        <w:t>原因主要是本单位无此业务</w:t>
      </w:r>
      <w:r>
        <w:rPr>
          <w:rFonts w:ascii="仿宋_GB2312" w:hAnsi="宋体" w:eastAsia="仿宋_GB2312"/>
          <w:sz w:val="32"/>
          <w:szCs w:val="32"/>
        </w:rPr>
        <w:t>。比上年减少0万元，下降0%，主要是无公务用车及运行费。</w:t>
      </w:r>
    </w:p>
    <w:p w14:paraId="32D0C217">
      <w:pPr>
        <w:pStyle w:val="7"/>
        <w:autoSpaceDN w:val="0"/>
        <w:spacing w:line="560" w:lineRule="exact"/>
        <w:ind w:firstLine="640"/>
        <w:rPr>
          <w:rFonts w:hint="default" w:ascii="仿宋_GB2312" w:eastAsia="仿宋_GB2312"/>
          <w:sz w:val="32"/>
        </w:rPr>
      </w:pPr>
      <w:r>
        <w:rPr>
          <w:rFonts w:ascii="仿宋_GB2312" w:eastAsia="仿宋_GB2312"/>
          <w:sz w:val="32"/>
          <w:szCs w:val="32"/>
        </w:rPr>
        <w:t>其中：公务用车购置费0万元，</w:t>
      </w:r>
      <w:r>
        <w:rPr>
          <w:rFonts w:ascii="仿宋_GB2312" w:eastAsia="仿宋_GB2312" w:cs="仿宋_GB2312"/>
          <w:sz w:val="32"/>
          <w:szCs w:val="32"/>
        </w:rPr>
        <w:t>原因主要是本单位无此业务</w:t>
      </w:r>
      <w:r>
        <w:rPr>
          <w:rFonts w:ascii="仿宋_GB2312" w:eastAsia="仿宋_GB2312"/>
          <w:sz w:val="32"/>
          <w:szCs w:val="32"/>
        </w:rPr>
        <w:t>,当年购置公务用车0辆。公务用车运行维护费0万元，</w:t>
      </w:r>
      <w:r>
        <w:rPr>
          <w:rFonts w:ascii="仿宋_GB2312" w:eastAsia="仿宋_GB2312" w:cs="仿宋_GB2312"/>
          <w:sz w:val="32"/>
          <w:szCs w:val="32"/>
        </w:rPr>
        <w:t>原因主要是本单位无此业务</w:t>
      </w:r>
      <w:r>
        <w:rPr>
          <w:rFonts w:ascii="仿宋_GB2312" w:eastAsia="仿宋_GB2312"/>
          <w:sz w:val="32"/>
          <w:szCs w:val="32"/>
        </w:rPr>
        <w:t>，截至年末使用一般公共预算财政拨款开支运行维护费的公务用车保有量0辆</w:t>
      </w:r>
      <w:r>
        <w:rPr>
          <w:rFonts w:ascii="仿宋_GB2312" w:eastAsia="仿宋_GB2312"/>
          <w:sz w:val="32"/>
        </w:rPr>
        <w:t>。</w:t>
      </w:r>
    </w:p>
    <w:p w14:paraId="5B435171">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14:paraId="2E1D3B32">
      <w:pPr>
        <w:pStyle w:val="7"/>
        <w:spacing w:line="560" w:lineRule="exact"/>
        <w:ind w:firstLine="645"/>
        <w:rPr>
          <w:rFonts w:hint="default" w:ascii="仿宋_GB2312" w:eastAsia="仿宋_GB2312"/>
          <w:sz w:val="32"/>
        </w:rPr>
      </w:pPr>
      <w:r>
        <w:rPr>
          <w:rFonts w:ascii="仿宋_GB2312" w:eastAsia="仿宋_GB2312"/>
          <w:sz w:val="32"/>
        </w:rPr>
        <w:t>2022年度一般公共预算财政拨款基本支出47968.38万元，其中：人员经费45405万元，主要包括基本工资、津贴补贴、奖金、其他社会保障缴费、机关事业单位基本养老保险缴费、其他工资福利支出、离休费、退休费、抚恤金、生活补助、奖励金、住房公积金、采暖补贴、其他对个人和家庭补助的支出；日常公用经费2563.38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9B57771">
      <w:pPr>
        <w:pStyle w:val="7"/>
        <w:spacing w:line="560" w:lineRule="exact"/>
        <w:ind w:firstLine="640"/>
        <w:rPr>
          <w:rFonts w:hint="default" w:ascii="黑体" w:eastAsia="黑体"/>
          <w:sz w:val="32"/>
        </w:rPr>
      </w:pPr>
      <w:r>
        <w:rPr>
          <w:rFonts w:ascii="黑体" w:eastAsia="黑体"/>
          <w:sz w:val="32"/>
        </w:rPr>
        <w:t>五、其他重要事项的情况说明</w:t>
      </w:r>
    </w:p>
    <w:p w14:paraId="1734DF27">
      <w:pPr>
        <w:pStyle w:val="7"/>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14:paraId="5E673B3D">
      <w:pPr>
        <w:pStyle w:val="7"/>
        <w:spacing w:line="560" w:lineRule="exact"/>
        <w:ind w:firstLine="640"/>
        <w:rPr>
          <w:rFonts w:hint="default" w:ascii="仿宋_GB2312" w:eastAsia="仿宋_GB2312"/>
          <w:sz w:val="32"/>
        </w:rPr>
      </w:pPr>
      <w:r>
        <w:rPr>
          <w:rFonts w:ascii="仿宋_GB2312" w:eastAsia="仿宋_GB2312"/>
          <w:sz w:val="32"/>
        </w:rPr>
        <w:t>2022年度机关运行经费支出2563.38万元，比上年决算数减少4470.03万元，降低63.55%，</w:t>
      </w:r>
      <w:r>
        <w:rPr>
          <w:rFonts w:ascii="仿宋_GB2312" w:eastAsia="仿宋_GB2312" w:cs="仿宋_GB2312"/>
          <w:sz w:val="32"/>
          <w:szCs w:val="32"/>
        </w:rPr>
        <w:t>主要原因是劳务费及其他交通费与上年度相比下降幅度较大</w:t>
      </w:r>
      <w:r>
        <w:rPr>
          <w:rFonts w:ascii="仿宋_GB2312" w:eastAsia="仿宋_GB2312"/>
          <w:sz w:val="32"/>
        </w:rPr>
        <w:t>。</w:t>
      </w:r>
    </w:p>
    <w:p w14:paraId="0F2DBB72">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14:paraId="7D10A801">
      <w:pPr>
        <w:pStyle w:val="7"/>
        <w:spacing w:line="560" w:lineRule="exact"/>
        <w:ind w:firstLine="640"/>
        <w:rPr>
          <w:rFonts w:hint="default" w:ascii="仿宋_GB2312" w:eastAsia="仿宋_GB2312"/>
          <w:sz w:val="32"/>
        </w:rPr>
      </w:pPr>
      <w:r>
        <w:rPr>
          <w:rFonts w:ascii="仿宋_GB2312" w:eastAsia="仿宋_GB2312"/>
          <w:sz w:val="32"/>
        </w:rPr>
        <w:t>2022年政府采购支出总额6498.39万元，其中：政府采购货物支出1001.32万元，政府采购工程支出4456.6万元，政府采购服务支出1040.47万元。授予中小企业合同金额2041.79万元，占政府采购支出总额的31.42%，其中：授予小微企业合同金额0万元，占政府采购支出总额的0%；货物采购授予中小企业合同金额占货物支出金额的100%；工程采购授予中小企业合同金额占工程支出金额的0%；服务采购授予中小企业合同金额占服务支出金额的100%。</w:t>
      </w:r>
    </w:p>
    <w:p w14:paraId="589855A6">
      <w:pPr>
        <w:pStyle w:val="7"/>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14:paraId="4B1A355D">
      <w:pPr>
        <w:pStyle w:val="7"/>
        <w:spacing w:line="560" w:lineRule="exact"/>
        <w:ind w:firstLine="640"/>
        <w:rPr>
          <w:rFonts w:hint="default" w:ascii="仿宋_GB2312" w:eastAsia="仿宋_GB2312"/>
          <w:sz w:val="32"/>
        </w:rPr>
      </w:pPr>
      <w:r>
        <w:rPr>
          <w:rFonts w:ascii="仿宋_GB2312" w:eastAsia="仿宋_GB2312"/>
          <w:sz w:val="32"/>
        </w:rPr>
        <w:t>截至2022年12月31日，共有车辆15辆，其中：副省级以上领导干部用车0辆，主要领导干部用车0辆，机要通讯用车0辆，应急保障用车0辆，执法执勤用车0辆，特种专业技术用车0辆，离退休干部用车0辆，其他用车15辆，其他用车主要是车改之前单位用车，现该车辆已交车管所，本单位未实际使用；单位价值50万元以上通用设备0台（套），单价100万元以上专用设备0台（套）。</w:t>
      </w:r>
    </w:p>
    <w:p w14:paraId="793BB781">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0B279492">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14:paraId="2EFC21EA">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管理要求，本部门组织对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4个（其中：一般公共预算项目4个，政府性基金预算项目0个，国有资本经营预算项目0个），涉及资金5541.74万元（其中：一般公共预算资金5541.74万元，政府性基金预算资金0万元，国有资本经营预算资金0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w:t>
      </w:r>
      <w:r>
        <w:rPr>
          <w:rFonts w:ascii="仿宋_GB2312" w:hAnsi="宋体" w:eastAsia="仿宋_GB2312" w:cs="仿宋_GB2312"/>
          <w:sz w:val="32"/>
          <w:szCs w:val="32"/>
        </w:rPr>
        <w:t>。</w:t>
      </w:r>
    </w:p>
    <w:p w14:paraId="01315D8D">
      <w:pPr>
        <w:widowControl/>
        <w:spacing w:line="520" w:lineRule="exact"/>
        <w:ind w:firstLine="640" w:firstLineChars="200"/>
        <w:jc w:val="left"/>
        <w:rPr>
          <w:rFonts w:hint="default"/>
        </w:rPr>
      </w:pPr>
      <w:r>
        <w:rPr>
          <w:rFonts w:hAnsi="宋体" w:eastAsia="仿宋_GB2312" w:cs="仿宋_GB2312"/>
          <w:sz w:val="32"/>
          <w:szCs w:val="32"/>
        </w:rPr>
        <w:t>组织对</w:t>
      </w:r>
      <w:r>
        <w:rPr>
          <w:rFonts w:ascii="仿宋_GB2312" w:hAnsi="宋体" w:eastAsia="仿宋_GB2312" w:cs="仿宋_GB2312"/>
          <w:sz w:val="32"/>
          <w:szCs w:val="32"/>
        </w:rPr>
        <w:t>本部门</w:t>
      </w:r>
      <w:r>
        <w:rPr>
          <w:rFonts w:hAnsi="宋体" w:eastAsia="仿宋_GB2312" w:cs="仿宋_GB2312"/>
          <w:sz w:val="32"/>
          <w:szCs w:val="32"/>
        </w:rPr>
        <w:t>开展整体绩效自评，涉及资金</w:t>
      </w:r>
      <w:r>
        <w:rPr>
          <w:rFonts w:hint="eastAsia" w:ascii="仿宋_GB2312" w:hAnsi="宋体" w:eastAsia="仿宋_GB2312" w:cs="仿宋_GB2312"/>
          <w:sz w:val="32"/>
          <w:szCs w:val="32"/>
          <w:lang w:val="en-US" w:eastAsia="zh-CN"/>
        </w:rPr>
        <w:t>65771.74</w:t>
      </w:r>
      <w:r>
        <w:rPr>
          <w:rFonts w:hAnsi="宋体" w:eastAsia="仿宋_GB2312" w:cs="仿宋_GB2312"/>
          <w:sz w:val="32"/>
          <w:szCs w:val="32"/>
        </w:rPr>
        <w:t>万元。《部门（单位）整体绩效自评表》见附件。</w:t>
      </w:r>
    </w:p>
    <w:p w14:paraId="4F164D1B">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本部门</w:t>
      </w:r>
      <w:r>
        <w:rPr>
          <w:rFonts w:ascii="仿宋_GB2312" w:hAnsi="仿宋" w:eastAsia="仿宋_GB2312"/>
          <w:sz w:val="32"/>
        </w:rPr>
        <w:t>组织对“</w:t>
      </w:r>
      <w:r>
        <w:rPr>
          <w:rFonts w:ascii="仿宋_GB2312" w:hAnsi="宋体" w:eastAsia="仿宋_GB2312" w:cs="仿宋_GB2312"/>
          <w:sz w:val="32"/>
          <w:szCs w:val="32"/>
        </w:rPr>
        <w:t>学生资助</w:t>
      </w:r>
      <w:r>
        <w:rPr>
          <w:rFonts w:ascii="仿宋_GB2312" w:hAnsi="仿宋" w:eastAsia="仿宋_GB2312"/>
          <w:sz w:val="32"/>
        </w:rPr>
        <w:t>””、“特殊教育学生和教师生活补助”、“学前奖补”、“农村义务教育阶段学生交通及住宿伙食补助”等</w:t>
      </w:r>
      <w:r>
        <w:rPr>
          <w:rFonts w:ascii="仿宋_GB2312" w:hAnsi="宋体" w:eastAsia="仿宋_GB2312" w:cs="仿宋_GB2312"/>
          <w:sz w:val="32"/>
          <w:szCs w:val="32"/>
        </w:rPr>
        <w:t>4</w:t>
      </w:r>
      <w:r>
        <w:rPr>
          <w:rFonts w:ascii="仿宋_GB2312" w:hAnsi="仿宋" w:eastAsia="仿宋_GB2312"/>
          <w:sz w:val="32"/>
        </w:rPr>
        <w:t>个项目开展了部门评价，</w:t>
      </w:r>
      <w:r>
        <w:rPr>
          <w:rFonts w:ascii="仿宋_GB2312" w:hAnsi="宋体" w:eastAsia="仿宋_GB2312" w:cs="仿宋_GB2312"/>
          <w:sz w:val="32"/>
          <w:szCs w:val="32"/>
        </w:rPr>
        <w:t>涉及</w:t>
      </w:r>
      <w:r>
        <w:rPr>
          <w:rFonts w:hAnsi="宋体" w:eastAsia="仿宋_GB2312" w:cs="仿宋_GB2312"/>
          <w:sz w:val="32"/>
          <w:szCs w:val="32"/>
        </w:rPr>
        <w:t>资金</w:t>
      </w:r>
      <w:r>
        <w:rPr>
          <w:rFonts w:ascii="仿宋_GB2312" w:hAnsi="宋体" w:eastAsia="仿宋_GB2312" w:cs="仿宋_GB2312"/>
          <w:sz w:val="32"/>
          <w:szCs w:val="32"/>
        </w:rPr>
        <w:t>5541.74</w:t>
      </w:r>
      <w:r>
        <w:rPr>
          <w:rFonts w:hAnsi="宋体" w:eastAsia="仿宋_GB2312" w:cs="仿宋_GB2312"/>
          <w:sz w:val="32"/>
          <w:szCs w:val="32"/>
        </w:rPr>
        <w:t>万元</w:t>
      </w:r>
      <w:r>
        <w:rPr>
          <w:rFonts w:ascii="仿宋_GB2312" w:hAnsi="宋体" w:eastAsia="仿宋_GB2312" w:cs="仿宋_GB2312"/>
          <w:sz w:val="32"/>
          <w:szCs w:val="32"/>
        </w:rPr>
        <w:t>（其中：一般公共预算资金5541.74万元，政府性基金预算资金0万元，国有资本经营预算资金0万元）</w:t>
      </w:r>
      <w:r>
        <w:rPr>
          <w:rFonts w:hAnsi="宋体" w:eastAsia="仿宋_GB2312" w:cs="仿宋_GB2312"/>
          <w:sz w:val="32"/>
          <w:szCs w:val="32"/>
        </w:rPr>
        <w:t>。从评价情况来看，本年度预算执行基本完成目标，重点项目严格按照实际需求申请拨付资金，保障了各级各类学校正常运行，为教育支出两个只增不减做好资金保障，充分发挥了教育专项资金的使用效益，得到了师生、家长及社会各界的好评。</w:t>
      </w:r>
    </w:p>
    <w:p w14:paraId="159C471C">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14:paraId="0A0C04BA">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本部门在2022年度省直部门决算中反映</w:t>
      </w:r>
      <w:r>
        <w:rPr>
          <w:rFonts w:ascii="仿宋_GB2312" w:hAnsi="仿宋" w:eastAsia="仿宋_GB2312"/>
          <w:sz w:val="32"/>
        </w:rPr>
        <w:t>“</w:t>
      </w:r>
      <w:r>
        <w:rPr>
          <w:rFonts w:ascii="仿宋_GB2312" w:hAnsi="宋体" w:eastAsia="仿宋_GB2312" w:cs="仿宋_GB2312"/>
          <w:sz w:val="32"/>
          <w:szCs w:val="32"/>
        </w:rPr>
        <w:t>学生资助</w:t>
      </w:r>
      <w:r>
        <w:rPr>
          <w:rFonts w:ascii="仿宋_GB2312" w:hAnsi="仿宋" w:eastAsia="仿宋_GB2312"/>
          <w:sz w:val="32"/>
        </w:rPr>
        <w:t>””、“特殊教育学生和教师生活补助”、“学前奖补”、“农村义务教育阶段学生交通及住宿伙食补助”</w:t>
      </w:r>
      <w:r>
        <w:rPr>
          <w:rFonts w:ascii="仿宋_GB2312" w:hAnsi="宋体" w:eastAsia="仿宋_GB2312" w:cs="仿宋_GB2312"/>
          <w:sz w:val="32"/>
          <w:szCs w:val="32"/>
        </w:rPr>
        <w:t>等4个项目绩效自评结果。</w:t>
      </w:r>
    </w:p>
    <w:p w14:paraId="38826F87">
      <w:pPr>
        <w:widowControl/>
        <w:spacing w:line="520" w:lineRule="exact"/>
        <w:ind w:firstLine="640" w:firstLineChars="200"/>
        <w:jc w:val="left"/>
        <w:rPr>
          <w:rFonts w:hint="default" w:ascii="仿宋_GB2312" w:eastAsia="仿宋_GB2312" w:cs="仿宋_GB2312"/>
          <w:sz w:val="32"/>
          <w:szCs w:val="32"/>
        </w:rPr>
      </w:pPr>
      <w:r>
        <w:rPr>
          <w:rFonts w:ascii="仿宋_GB2312" w:hAnsi="宋体" w:eastAsia="仿宋_GB2312" w:cs="仿宋_GB2312"/>
          <w:sz w:val="32"/>
          <w:szCs w:val="32"/>
        </w:rPr>
        <w:t>（1）“学生资助”项目自评综述：根据年初设定的绩效目标，项目自评得分100分。项目全年预算数为439.58万元，执行数为439.58万元，完成预算的100%。项目绩效目标完成情况：</w:t>
      </w:r>
      <w:r>
        <w:rPr>
          <w:rFonts w:ascii="黑体" w:hAnsi="宋体" w:eastAsia="黑体" w:cs="黑体"/>
          <w:sz w:val="32"/>
          <w:szCs w:val="32"/>
        </w:rPr>
        <w:t>一是</w:t>
      </w:r>
      <w:r>
        <w:rPr>
          <w:rFonts w:ascii="仿宋_GB2312" w:eastAsia="仿宋_GB2312" w:cs="仿宋_GB2312"/>
          <w:sz w:val="32"/>
          <w:szCs w:val="32"/>
        </w:rPr>
        <w:t>项目预算资金全部执行完毕</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严格按照政策执行各学段学生资助确保资金及时足额发放至学生账户。发现的主要问题及原因：</w:t>
      </w:r>
      <w:r>
        <w:rPr>
          <w:rFonts w:ascii="仿宋_GB2312" w:eastAsia="仿宋_GB2312" w:cs="仿宋_GB2312"/>
          <w:sz w:val="32"/>
          <w:szCs w:val="32"/>
        </w:rPr>
        <w:t>未委托第三方机构对项目绩效目标完成情况进行评价。</w:t>
      </w:r>
      <w:r>
        <w:rPr>
          <w:rFonts w:ascii="仿宋_GB2312" w:hAnsi="宋体" w:eastAsia="仿宋_GB2312" w:cs="仿宋_GB2312"/>
          <w:sz w:val="32"/>
          <w:szCs w:val="32"/>
        </w:rPr>
        <w:t>下一步改进措施：</w:t>
      </w:r>
      <w:r>
        <w:rPr>
          <w:rFonts w:ascii="仿宋_GB2312" w:eastAsia="仿宋_GB2312" w:cs="仿宋_GB2312"/>
          <w:sz w:val="32"/>
          <w:szCs w:val="32"/>
        </w:rPr>
        <w:t>进一步提高学生资助管理水平，更加科学合理地安排经费预算。</w:t>
      </w:r>
    </w:p>
    <w:p w14:paraId="09943395">
      <w:pPr>
        <w:widowControl/>
        <w:spacing w:line="520" w:lineRule="exact"/>
        <w:ind w:firstLine="640" w:firstLineChars="200"/>
        <w:jc w:val="left"/>
        <w:rPr>
          <w:rFonts w:hint="default" w:ascii="仿宋_GB2312" w:eastAsia="仿宋_GB2312" w:cs="仿宋_GB2312"/>
          <w:sz w:val="32"/>
          <w:szCs w:val="32"/>
        </w:rPr>
      </w:pPr>
      <w:r>
        <w:rPr>
          <w:rFonts w:ascii="仿宋_GB2312" w:hAnsi="宋体" w:eastAsia="仿宋_GB2312" w:cs="仿宋_GB2312"/>
          <w:sz w:val="32"/>
          <w:szCs w:val="32"/>
        </w:rPr>
        <w:t>（2）“</w:t>
      </w:r>
      <w:r>
        <w:rPr>
          <w:rFonts w:ascii="仿宋_GB2312" w:hAnsi="仿宋" w:eastAsia="仿宋_GB2312"/>
          <w:sz w:val="32"/>
        </w:rPr>
        <w:t>特殊教育学生和教师生活补助</w:t>
      </w:r>
      <w:r>
        <w:rPr>
          <w:rFonts w:ascii="仿宋_GB2312" w:hAnsi="宋体" w:eastAsia="仿宋_GB2312" w:cs="仿宋_GB2312"/>
          <w:sz w:val="32"/>
          <w:szCs w:val="32"/>
        </w:rPr>
        <w:t>”项目自评综述：根据年初设定的绩效目标，项目自评得分100分。项目全年预算数为100万元，执行数为100万元，完成预算的100%。项目绩效目标完成情况：</w:t>
      </w:r>
      <w:r>
        <w:rPr>
          <w:rFonts w:ascii="黑体" w:hAnsi="宋体" w:eastAsia="黑体" w:cs="黑体"/>
          <w:sz w:val="32"/>
          <w:szCs w:val="32"/>
        </w:rPr>
        <w:t>一是</w:t>
      </w:r>
      <w:r>
        <w:rPr>
          <w:rFonts w:ascii="仿宋_GB2312" w:eastAsia="仿宋_GB2312" w:cs="仿宋_GB2312"/>
          <w:sz w:val="32"/>
          <w:szCs w:val="32"/>
        </w:rPr>
        <w:t>项目预算资金全部执行完毕</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严格按照政策执行特教经费，确保资金及时足额发放到位。发现的主要问题及原因：</w:t>
      </w:r>
      <w:r>
        <w:rPr>
          <w:rFonts w:ascii="仿宋_GB2312" w:eastAsia="仿宋_GB2312" w:cs="仿宋_GB2312"/>
          <w:sz w:val="32"/>
          <w:szCs w:val="32"/>
        </w:rPr>
        <w:t>未委托第三方机构对项目绩效目标完成情况进行评价。</w:t>
      </w:r>
      <w:r>
        <w:rPr>
          <w:rFonts w:ascii="仿宋_GB2312" w:hAnsi="宋体" w:eastAsia="仿宋_GB2312" w:cs="仿宋_GB2312"/>
          <w:sz w:val="32"/>
          <w:szCs w:val="32"/>
        </w:rPr>
        <w:t>下一步改进措施：</w:t>
      </w:r>
      <w:r>
        <w:rPr>
          <w:rFonts w:ascii="仿宋_GB2312" w:eastAsia="仿宋_GB2312" w:cs="仿宋_GB2312"/>
          <w:sz w:val="32"/>
          <w:szCs w:val="32"/>
        </w:rPr>
        <w:t>进一步提高特殊教育管理水平，更加科学合理地安排经费预算。</w:t>
      </w:r>
    </w:p>
    <w:p w14:paraId="5A0786F5">
      <w:pPr>
        <w:widowControl/>
        <w:spacing w:line="520" w:lineRule="exact"/>
        <w:ind w:firstLine="640" w:firstLineChars="200"/>
        <w:jc w:val="left"/>
        <w:rPr>
          <w:rFonts w:hint="default" w:ascii="仿宋_GB2312" w:eastAsia="仿宋_GB2312" w:cs="仿宋_GB2312"/>
          <w:sz w:val="32"/>
          <w:szCs w:val="32"/>
        </w:rPr>
      </w:pPr>
      <w:r>
        <w:rPr>
          <w:rFonts w:ascii="仿宋_GB2312" w:hAnsi="宋体" w:eastAsia="仿宋_GB2312" w:cs="仿宋_GB2312"/>
          <w:sz w:val="32"/>
          <w:szCs w:val="32"/>
        </w:rPr>
        <w:t>（3）“</w:t>
      </w:r>
      <w:r>
        <w:rPr>
          <w:rFonts w:ascii="仿宋_GB2312" w:hAnsi="仿宋" w:eastAsia="仿宋_GB2312"/>
          <w:sz w:val="32"/>
        </w:rPr>
        <w:t>学前奖补</w:t>
      </w:r>
      <w:r>
        <w:rPr>
          <w:rFonts w:ascii="仿宋_GB2312" w:hAnsi="宋体" w:eastAsia="仿宋_GB2312" w:cs="仿宋_GB2312"/>
          <w:sz w:val="32"/>
          <w:szCs w:val="32"/>
        </w:rPr>
        <w:t>”项目自评综述：根据年初设定的绩效目标，项目自评得分99.75分。项目全年预算数为4097.66万元，执行数为3996.66万元，完成预算的97.54%。项目绩效目标完成情况：</w:t>
      </w:r>
      <w:r>
        <w:rPr>
          <w:rFonts w:ascii="黑体" w:hAnsi="宋体" w:eastAsia="黑体" w:cs="黑体"/>
          <w:sz w:val="32"/>
          <w:szCs w:val="32"/>
        </w:rPr>
        <w:t>一是</w:t>
      </w:r>
      <w:r>
        <w:rPr>
          <w:rFonts w:ascii="仿宋_GB2312" w:eastAsia="仿宋_GB2312" w:cs="仿宋_GB2312"/>
          <w:sz w:val="32"/>
          <w:szCs w:val="32"/>
        </w:rPr>
        <w:t>项目预算资金按照实际需求执行完毕</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严格按照政策执行学前奖补，确保资金及时足额发放到位。发现的主要问题及原因：</w:t>
      </w:r>
      <w:r>
        <w:rPr>
          <w:rFonts w:ascii="仿宋_GB2312" w:eastAsia="仿宋_GB2312" w:cs="仿宋_GB2312"/>
          <w:sz w:val="32"/>
          <w:szCs w:val="32"/>
        </w:rPr>
        <w:t>未委托第三方机构对项目绩效目标完成情况进行评价。</w:t>
      </w:r>
      <w:r>
        <w:rPr>
          <w:rFonts w:ascii="仿宋_GB2312" w:hAnsi="宋体" w:eastAsia="仿宋_GB2312" w:cs="仿宋_GB2312"/>
          <w:sz w:val="32"/>
          <w:szCs w:val="32"/>
        </w:rPr>
        <w:t>下一步改进措施：</w:t>
      </w:r>
      <w:r>
        <w:rPr>
          <w:rFonts w:ascii="仿宋_GB2312" w:eastAsia="仿宋_GB2312" w:cs="仿宋_GB2312"/>
          <w:sz w:val="32"/>
          <w:szCs w:val="32"/>
        </w:rPr>
        <w:t>进一步提高学前奖补管理水平，更加科学合理地安排经费预算。</w:t>
      </w:r>
    </w:p>
    <w:p w14:paraId="26A92941">
      <w:pPr>
        <w:widowControl/>
        <w:spacing w:line="520" w:lineRule="exact"/>
        <w:ind w:firstLine="640" w:firstLineChars="200"/>
        <w:jc w:val="left"/>
        <w:rPr>
          <w:rFonts w:hint="default" w:ascii="仿宋_GB2312" w:eastAsia="仿宋_GB2312" w:cs="仿宋_GB2312"/>
          <w:sz w:val="32"/>
          <w:szCs w:val="32"/>
        </w:rPr>
      </w:pPr>
      <w:r>
        <w:rPr>
          <w:rFonts w:ascii="仿宋_GB2312" w:hAnsi="宋体" w:eastAsia="仿宋_GB2312" w:cs="仿宋_GB2312"/>
          <w:sz w:val="32"/>
          <w:szCs w:val="32"/>
        </w:rPr>
        <w:t>（4）“</w:t>
      </w:r>
      <w:r>
        <w:rPr>
          <w:rFonts w:ascii="仿宋_GB2312" w:hAnsi="仿宋" w:eastAsia="仿宋_GB2312"/>
          <w:sz w:val="32"/>
        </w:rPr>
        <w:t>农村义务教育阶段学生交通及住宿伙食补助</w:t>
      </w:r>
      <w:r>
        <w:rPr>
          <w:rFonts w:ascii="仿宋_GB2312" w:hAnsi="宋体" w:eastAsia="仿宋_GB2312" w:cs="仿宋_GB2312"/>
          <w:sz w:val="32"/>
          <w:szCs w:val="32"/>
        </w:rPr>
        <w:t>”项目自评综述：根据年初设定的绩效目标，项目自评得分99.2分。项目全年预算数为904.5万元，执行数为832.08万元，完成预算的91.99%。项目绩效目标完成情况：</w:t>
      </w:r>
      <w:r>
        <w:rPr>
          <w:rFonts w:ascii="黑体" w:hAnsi="宋体" w:eastAsia="黑体" w:cs="黑体"/>
          <w:sz w:val="32"/>
          <w:szCs w:val="32"/>
        </w:rPr>
        <w:t>一是</w:t>
      </w:r>
      <w:r>
        <w:rPr>
          <w:rFonts w:ascii="仿宋_GB2312" w:eastAsia="仿宋_GB2312" w:cs="仿宋_GB2312"/>
          <w:sz w:val="32"/>
          <w:szCs w:val="32"/>
        </w:rPr>
        <w:t>项目预算资金按照实际需求执行完毕</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严格按照政策执行农村义务教育阶段学生交通及住宿伙食补助，确保资金及时足额发放到位。发现的主要问题及原因：</w:t>
      </w:r>
      <w:r>
        <w:rPr>
          <w:rFonts w:ascii="仿宋_GB2312" w:eastAsia="仿宋_GB2312" w:cs="仿宋_GB2312"/>
          <w:sz w:val="32"/>
          <w:szCs w:val="32"/>
        </w:rPr>
        <w:t>未委托第三方机构对项目绩效目标完成情况进行评价。</w:t>
      </w:r>
      <w:r>
        <w:rPr>
          <w:rFonts w:ascii="仿宋_GB2312" w:hAnsi="宋体" w:eastAsia="仿宋_GB2312" w:cs="仿宋_GB2312"/>
          <w:sz w:val="32"/>
          <w:szCs w:val="32"/>
        </w:rPr>
        <w:t>下一步改进措施：</w:t>
      </w:r>
      <w:r>
        <w:rPr>
          <w:rFonts w:ascii="仿宋_GB2312" w:eastAsia="仿宋_GB2312" w:cs="仿宋_GB2312"/>
          <w:sz w:val="32"/>
          <w:szCs w:val="32"/>
        </w:rPr>
        <w:t>进一步提高校车管理水平，更加科学合理地安排经费预算。</w:t>
      </w:r>
    </w:p>
    <w:p w14:paraId="6BE759B9">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14:paraId="0B62FC29">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3.部门评价结果。</w:t>
      </w:r>
    </w:p>
    <w:p w14:paraId="6CC39F91">
      <w:pPr>
        <w:widowControl/>
        <w:spacing w:line="520" w:lineRule="exact"/>
        <w:ind w:firstLine="640" w:firstLineChars="200"/>
        <w:jc w:val="left"/>
        <w:rPr>
          <w:rFonts w:hint="default" w:ascii="仿宋_GB2312" w:hAnsi="宋体" w:eastAsia="仿宋_GB2312" w:cs="仿宋_GB2312"/>
          <w:bCs/>
          <w:sz w:val="32"/>
          <w:szCs w:val="32"/>
        </w:rPr>
      </w:pPr>
      <w:r>
        <w:rPr>
          <w:rFonts w:ascii="仿宋_GB2312" w:hAnsi="宋体" w:eastAsia="仿宋_GB2312" w:cs="仿宋_GB2312"/>
          <w:bCs/>
          <w:sz w:val="32"/>
          <w:szCs w:val="32"/>
        </w:rPr>
        <w:t>本年度预算执行基本完成目标，重点项目严格按照实际需求申请拨付资金，保障了各级各类学校正常运行，为教育支出两个只增不减做好资金保障，充分发挥了教育专项资金的使用效益，得到了师生、家长及社会各界的好评。</w:t>
      </w:r>
    </w:p>
    <w:p w14:paraId="0E6C44B1">
      <w:pPr>
        <w:widowControl/>
        <w:spacing w:line="520" w:lineRule="exact"/>
        <w:ind w:firstLine="643" w:firstLineChars="200"/>
        <w:jc w:val="left"/>
        <w:rPr>
          <w:rFonts w:hint="default"/>
          <w:sz w:val="32"/>
          <w:szCs w:val="32"/>
        </w:rPr>
      </w:pPr>
      <w:r>
        <w:rPr>
          <w:rFonts w:ascii="仿宋_GB2312" w:hAnsi="宋体" w:eastAsia="仿宋_GB2312" w:cs="仿宋_GB2312"/>
          <w:b/>
          <w:bCs/>
          <w:sz w:val="32"/>
          <w:szCs w:val="32"/>
        </w:rPr>
        <w:t>4.财政评价结果。</w:t>
      </w:r>
    </w:p>
    <w:p w14:paraId="3F9B9D2A">
      <w:pPr>
        <w:widowControl/>
        <w:spacing w:line="560" w:lineRule="exact"/>
        <w:ind w:firstLine="640" w:firstLineChars="200"/>
        <w:rPr>
          <w:rFonts w:hint="default" w:ascii="仿宋_GB2312" w:eastAsia="仿宋_GB2312"/>
          <w:sz w:val="32"/>
          <w:szCs w:val="32"/>
        </w:rPr>
      </w:pPr>
      <w:r>
        <w:rPr>
          <w:rFonts w:ascii="仿宋_GB2312" w:eastAsia="仿宋_GB2312"/>
          <w:sz w:val="32"/>
          <w:szCs w:val="32"/>
        </w:rPr>
        <w:t>该部门整体绩效自评效果较好，望你单位继续加强资金管理，发挥资金效益。</w:t>
      </w:r>
    </w:p>
    <w:p w14:paraId="7A23FAE6">
      <w:pPr>
        <w:pStyle w:val="7"/>
        <w:spacing w:line="560" w:lineRule="exact"/>
        <w:rPr>
          <w:rFonts w:hint="default" w:ascii="仿宋_GB2312" w:eastAsia="仿宋_GB2312"/>
          <w:sz w:val="32"/>
          <w:szCs w:val="32"/>
        </w:rPr>
      </w:pPr>
    </w:p>
    <w:p w14:paraId="72ED60DA">
      <w:pPr>
        <w:pStyle w:val="10"/>
        <w:autoSpaceDN w:val="0"/>
        <w:spacing w:line="560" w:lineRule="exact"/>
        <w:ind w:firstLine="2530" w:firstLineChars="700"/>
        <w:rPr>
          <w:b/>
          <w:bCs/>
          <w:sz w:val="36"/>
          <w:szCs w:val="36"/>
        </w:rPr>
      </w:pPr>
      <w:r>
        <w:rPr>
          <w:rFonts w:hint="eastAsia"/>
          <w:b/>
          <w:bCs/>
          <w:sz w:val="36"/>
          <w:szCs w:val="36"/>
        </w:rPr>
        <w:t>第三部分 名词解释</w:t>
      </w:r>
    </w:p>
    <w:p w14:paraId="14D20831">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B20E1C6">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54517E26">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2F5BCF92">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3E2AD8E9">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16571725">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指除上述“财政拨款收入”、“上级补助收入”、“事业收入”、“经营收入”、“附属单位上缴收入”等以外的收入。</w:t>
      </w:r>
    </w:p>
    <w:p w14:paraId="1C86D5F6">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6475A931">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7037B1C6">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29471C24">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1A460128">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06F933CA">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00E44E38">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1ECC47CB">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6EAABDD">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F755804">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69216375">
      <w:pPr>
        <w:pStyle w:val="7"/>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14:paraId="12981F18">
      <w:pPr>
        <w:pStyle w:val="7"/>
        <w:spacing w:line="560" w:lineRule="exact"/>
        <w:ind w:firstLine="640"/>
        <w:rPr>
          <w:rFonts w:hint="default" w:ascii="仿宋_GB2312" w:eastAsia="仿宋_GB2312"/>
          <w:i/>
          <w:sz w:val="32"/>
          <w:u w:val="single"/>
        </w:rPr>
      </w:pPr>
    </w:p>
    <w:p w14:paraId="5107E0D3">
      <w:pPr>
        <w:pStyle w:val="7"/>
        <w:spacing w:line="560" w:lineRule="atLeast"/>
        <w:jc w:val="left"/>
        <w:rPr>
          <w:rFonts w:hint="default" w:ascii="仿宋_GB2312" w:hAnsi="仿宋_GB2312" w:eastAsia="仿宋_GB2312" w:cs="仿宋_GB2312"/>
          <w:b/>
          <w:sz w:val="52"/>
          <w:szCs w:val="52"/>
        </w:rPr>
      </w:pPr>
    </w:p>
    <w:p w14:paraId="3C829F9E">
      <w:pPr>
        <w:pStyle w:val="7"/>
        <w:spacing w:line="560" w:lineRule="atLeast"/>
        <w:jc w:val="left"/>
        <w:rPr>
          <w:rFonts w:hint="default" w:ascii="仿宋_GB2312" w:hAnsi="仿宋_GB2312" w:eastAsia="仿宋_GB2312" w:cs="仿宋_GB2312"/>
          <w:b/>
          <w:sz w:val="52"/>
          <w:szCs w:val="52"/>
        </w:rPr>
      </w:pPr>
    </w:p>
    <w:p w14:paraId="4012B06F">
      <w:pPr>
        <w:pStyle w:val="7"/>
        <w:spacing w:line="560" w:lineRule="atLeast"/>
        <w:jc w:val="left"/>
        <w:rPr>
          <w:rFonts w:hint="default" w:ascii="仿宋_GB2312" w:hAnsi="仿宋_GB2312" w:eastAsia="仿宋_GB2312" w:cs="仿宋_GB2312"/>
          <w:b/>
          <w:sz w:val="52"/>
          <w:szCs w:val="52"/>
        </w:rPr>
      </w:pPr>
    </w:p>
    <w:p w14:paraId="3ADAF7DA">
      <w:pPr>
        <w:pStyle w:val="7"/>
        <w:spacing w:line="560" w:lineRule="atLeast"/>
        <w:jc w:val="center"/>
        <w:rPr>
          <w:rFonts w:hint="default"/>
          <w:b/>
          <w:sz w:val="36"/>
        </w:rPr>
      </w:pPr>
      <w:r>
        <w:rPr>
          <w:rFonts w:ascii="仿宋_GB2312" w:hAnsi="仿宋_GB2312" w:eastAsia="仿宋_GB2312" w:cs="仿宋_GB2312"/>
          <w:b/>
          <w:sz w:val="52"/>
          <w:szCs w:val="52"/>
        </w:rPr>
        <w:t>第四部分 浑南区教育局2022年度决算表</w:t>
      </w:r>
    </w:p>
    <w:p w14:paraId="3538AC9C">
      <w:pPr>
        <w:rPr>
          <w:rFonts w:hint="default" w:ascii="仿宋_GB2312" w:hAnsi="宋体" w:eastAsia="仿宋_GB2312"/>
          <w:kern w:val="0"/>
          <w:sz w:val="32"/>
        </w:rPr>
      </w:pPr>
    </w:p>
    <w:p w14:paraId="50A1B3A2">
      <w:pPr>
        <w:rPr>
          <w:rFonts w:hint="default" w:ascii="仿宋_GB2312" w:hAnsi="宋体" w:eastAsia="仿宋_GB2312"/>
          <w:kern w:val="0"/>
          <w:sz w:val="32"/>
        </w:rPr>
      </w:pPr>
    </w:p>
    <w:p w14:paraId="1B56947B">
      <w:pPr>
        <w:rPr>
          <w:rFonts w:hint="default" w:ascii="仿宋_GB2312" w:hAnsi="宋体" w:eastAsia="仿宋_GB2312"/>
          <w:kern w:val="0"/>
          <w:sz w:val="32"/>
        </w:rPr>
      </w:pPr>
    </w:p>
    <w:p w14:paraId="4FC87264">
      <w:pPr>
        <w:rPr>
          <w:rFonts w:hint="default" w:ascii="仿宋_GB2312" w:hAnsi="宋体" w:eastAsia="仿宋_GB2312"/>
          <w:kern w:val="0"/>
          <w:sz w:val="32"/>
        </w:rPr>
      </w:pPr>
    </w:p>
    <w:p w14:paraId="5D119525">
      <w:pPr>
        <w:rPr>
          <w:rFonts w:hint="default" w:ascii="仿宋_GB2312" w:hAnsi="宋体" w:eastAsia="仿宋_GB2312"/>
          <w:kern w:val="0"/>
          <w:sz w:val="32"/>
        </w:rPr>
      </w:pPr>
    </w:p>
    <w:p w14:paraId="559EE0A4">
      <w:pPr>
        <w:rPr>
          <w:rFonts w:hint="default" w:ascii="仿宋_GB2312" w:hAnsi="宋体" w:eastAsia="仿宋_GB2312"/>
          <w:kern w:val="0"/>
          <w:sz w:val="32"/>
        </w:rPr>
      </w:pPr>
    </w:p>
    <w:p w14:paraId="499BD591">
      <w:pPr>
        <w:jc w:val="center"/>
        <w:rPr>
          <w:rFonts w:hint="default" w:ascii="宋体" w:hAnsi="宋体"/>
          <w:b/>
          <w:sz w:val="52"/>
          <w:szCs w:val="52"/>
        </w:rPr>
      </w:pPr>
    </w:p>
    <w:p w14:paraId="403CE7CA">
      <w:pPr>
        <w:jc w:val="center"/>
        <w:rPr>
          <w:rFonts w:hint="default" w:ascii="宋体" w:hAnsi="宋体"/>
          <w:b/>
          <w:sz w:val="52"/>
          <w:szCs w:val="52"/>
        </w:rPr>
      </w:pPr>
    </w:p>
    <w:p w14:paraId="3A86BDFD">
      <w:pPr>
        <w:jc w:val="center"/>
        <w:rPr>
          <w:rFonts w:hint="default" w:ascii="宋体" w:hAnsi="宋体"/>
          <w:b/>
          <w:sz w:val="52"/>
          <w:szCs w:val="52"/>
        </w:rPr>
      </w:pPr>
    </w:p>
    <w:p w14:paraId="076D7EC4">
      <w:pPr>
        <w:numPr>
          <w:ilvl w:val="0"/>
          <w:numId w:val="1"/>
        </w:numPr>
        <w:jc w:val="center"/>
        <w:rPr>
          <w:rFonts w:hint="default" w:ascii="宋体" w:hAnsi="宋体"/>
          <w:b/>
          <w:sz w:val="52"/>
          <w:szCs w:val="52"/>
        </w:rPr>
      </w:pPr>
      <w:r>
        <w:rPr>
          <w:rFonts w:ascii="宋体" w:hAnsi="宋体"/>
          <w:b/>
          <w:sz w:val="52"/>
          <w:szCs w:val="52"/>
        </w:rPr>
        <w:t>附件</w:t>
      </w:r>
    </w:p>
    <w:p w14:paraId="2A6FB16B">
      <w:pPr>
        <w:jc w:val="center"/>
        <w:rPr>
          <w:rFonts w:hint="default" w:ascii="宋体" w:hAnsi="宋体"/>
          <w:b/>
          <w:sz w:val="52"/>
          <w:szCs w:val="52"/>
        </w:rPr>
      </w:pPr>
    </w:p>
    <w:p w14:paraId="2E78E6BE">
      <w:pPr>
        <w:jc w:val="center"/>
        <w:rPr>
          <w:rFonts w:hint="default" w:ascii="宋体" w:hAnsi="宋体"/>
          <w:b/>
          <w:sz w:val="52"/>
          <w:szCs w:val="52"/>
        </w:rPr>
      </w:pPr>
    </w:p>
    <w:p w14:paraId="209FB785">
      <w:pPr>
        <w:jc w:val="center"/>
        <w:rPr>
          <w:rFonts w:hint="default" w:ascii="宋体" w:hAnsi="宋体"/>
          <w:b/>
          <w:sz w:val="52"/>
          <w:szCs w:val="52"/>
        </w:rPr>
      </w:pPr>
    </w:p>
    <w:p w14:paraId="6AFCD746">
      <w:pPr>
        <w:jc w:val="center"/>
        <w:rPr>
          <w:rFonts w:hint="default" w:ascii="宋体" w:hAnsi="宋体"/>
          <w:b/>
          <w:sz w:val="52"/>
          <w:szCs w:val="52"/>
        </w:rPr>
      </w:pPr>
    </w:p>
    <w:p w14:paraId="38A64D7C">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62F5B">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iZTQ3ZmI1OTFmODUzNzgwMGRlNDBmMWZiZDQzMjEifQ=="/>
  </w:docVars>
  <w:rsids>
    <w:rsidRoot w:val="1C635C29"/>
    <w:rsid w:val="00060165"/>
    <w:rsid w:val="000713E9"/>
    <w:rsid w:val="00093A41"/>
    <w:rsid w:val="000B596F"/>
    <w:rsid w:val="000C5439"/>
    <w:rsid w:val="000D2606"/>
    <w:rsid w:val="000D4C3C"/>
    <w:rsid w:val="00100607"/>
    <w:rsid w:val="00104B94"/>
    <w:rsid w:val="00123E14"/>
    <w:rsid w:val="00130CB7"/>
    <w:rsid w:val="00185588"/>
    <w:rsid w:val="001D0B4A"/>
    <w:rsid w:val="00246DB3"/>
    <w:rsid w:val="0028194E"/>
    <w:rsid w:val="00295E04"/>
    <w:rsid w:val="002B1AD0"/>
    <w:rsid w:val="002D0C8B"/>
    <w:rsid w:val="00320394"/>
    <w:rsid w:val="00342E31"/>
    <w:rsid w:val="0035569F"/>
    <w:rsid w:val="00366D4D"/>
    <w:rsid w:val="0038444A"/>
    <w:rsid w:val="00387684"/>
    <w:rsid w:val="0044142C"/>
    <w:rsid w:val="00443D23"/>
    <w:rsid w:val="00485722"/>
    <w:rsid w:val="00505889"/>
    <w:rsid w:val="005118BA"/>
    <w:rsid w:val="00523FEF"/>
    <w:rsid w:val="005812D3"/>
    <w:rsid w:val="005814A4"/>
    <w:rsid w:val="00590A8D"/>
    <w:rsid w:val="005C4DCE"/>
    <w:rsid w:val="0065326D"/>
    <w:rsid w:val="006872A9"/>
    <w:rsid w:val="00753B9D"/>
    <w:rsid w:val="00756329"/>
    <w:rsid w:val="007A2FD9"/>
    <w:rsid w:val="007F77B9"/>
    <w:rsid w:val="008040A1"/>
    <w:rsid w:val="00886948"/>
    <w:rsid w:val="00896B7F"/>
    <w:rsid w:val="008C7762"/>
    <w:rsid w:val="008F2A72"/>
    <w:rsid w:val="00954778"/>
    <w:rsid w:val="009D1D77"/>
    <w:rsid w:val="009F549D"/>
    <w:rsid w:val="00A17144"/>
    <w:rsid w:val="00A5357A"/>
    <w:rsid w:val="00A57A14"/>
    <w:rsid w:val="00A77D63"/>
    <w:rsid w:val="00AA4638"/>
    <w:rsid w:val="00AC64DD"/>
    <w:rsid w:val="00AD13CE"/>
    <w:rsid w:val="00B21D57"/>
    <w:rsid w:val="00B54181"/>
    <w:rsid w:val="00B6629C"/>
    <w:rsid w:val="00B82114"/>
    <w:rsid w:val="00BC09C4"/>
    <w:rsid w:val="00BE4022"/>
    <w:rsid w:val="00C9191E"/>
    <w:rsid w:val="00CD14B7"/>
    <w:rsid w:val="00CF3F1A"/>
    <w:rsid w:val="00DC3915"/>
    <w:rsid w:val="00E4305D"/>
    <w:rsid w:val="00EF1DFD"/>
    <w:rsid w:val="00F16B2B"/>
    <w:rsid w:val="00F317C3"/>
    <w:rsid w:val="00F67249"/>
    <w:rsid w:val="00F724E9"/>
    <w:rsid w:val="00FD4F89"/>
    <w:rsid w:val="01622E76"/>
    <w:rsid w:val="042925A3"/>
    <w:rsid w:val="082C6248"/>
    <w:rsid w:val="09C4782E"/>
    <w:rsid w:val="0ECB7368"/>
    <w:rsid w:val="0FD91C07"/>
    <w:rsid w:val="11612EA5"/>
    <w:rsid w:val="12CC5588"/>
    <w:rsid w:val="131E2240"/>
    <w:rsid w:val="1B9703C5"/>
    <w:rsid w:val="1C635C29"/>
    <w:rsid w:val="1C6537BA"/>
    <w:rsid w:val="286C4199"/>
    <w:rsid w:val="28977847"/>
    <w:rsid w:val="2A3D2189"/>
    <w:rsid w:val="2E4F6256"/>
    <w:rsid w:val="36230505"/>
    <w:rsid w:val="3BA207ED"/>
    <w:rsid w:val="4297443B"/>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paragraph" w:customStyle="1" w:styleId="7">
    <w:name w:val="p0"/>
    <w:basedOn w:val="1"/>
    <w:qFormat/>
    <w:uiPriority w:val="99"/>
    <w:pPr>
      <w:widowControl/>
    </w:pPr>
    <w:rPr>
      <w:rFonts w:ascii="宋体" w:hAnsi="宋体"/>
    </w:rPr>
  </w:style>
  <w:style w:type="character" w:customStyle="1" w:styleId="8">
    <w:name w:val="页眉 Char"/>
    <w:basedOn w:val="5"/>
    <w:link w:val="3"/>
    <w:qFormat/>
    <w:uiPriority w:val="0"/>
    <w:rPr>
      <w:rFonts w:ascii="Times New Roman" w:hAnsi="Times New Roman" w:eastAsia="宋体"/>
      <w:kern w:val="2"/>
      <w:sz w:val="18"/>
      <w:szCs w:val="18"/>
    </w:rPr>
  </w:style>
  <w:style w:type="character" w:customStyle="1" w:styleId="9">
    <w:name w:val="页脚 Char"/>
    <w:basedOn w:val="5"/>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 w:type="paragraph" w:styleId="11">
    <w:name w:val="List Paragraph"/>
    <w:basedOn w:val="1"/>
    <w:qFormat/>
    <w:uiPriority w:val="99"/>
    <w:pPr>
      <w:ind w:firstLine="420" w:firstLineChars="200"/>
    </w:pPr>
    <w:rPr>
      <w:rFonts w:hint="default"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F1435-3BF1-4971-8285-E6B7FDFC8139}">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22</Pages>
  <Words>8288</Words>
  <Characters>9174</Characters>
  <Lines>69</Lines>
  <Paragraphs>19</Paragraphs>
  <TotalTime>689</TotalTime>
  <ScaleCrop>false</ScaleCrop>
  <LinksUpToDate>false</LinksUpToDate>
  <CharactersWithSpaces>9235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2024-10-23T02:12:07Z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D8C3D86190044CF79FC5E9FC38194C98_13</vt:lpwstr>
  </property>
</Properties>
</file>