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rPr>
          <w:rFonts w:hint="eastAsia" w:ascii="宋体" w:hAnsi="宋体" w:eastAsia="宋体"/>
          <w:b/>
          <w:color w:val="FF0000"/>
          <w:sz w:val="52"/>
          <w:szCs w:val="52"/>
          <w:lang w:eastAsia="zh-CN"/>
        </w:rPr>
      </w:pPr>
      <w:r>
        <w:rPr>
          <w:rFonts w:ascii="宋体" w:hAnsi="宋体"/>
          <w:b/>
          <w:sz w:val="52"/>
          <w:szCs w:val="52"/>
        </w:rPr>
        <w:t>沈阳市浑南区阳光学校2022决算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 沈阳市浑南区阳光学校概况</w:t>
      </w:r>
    </w:p>
    <w:p>
      <w:pPr>
        <w:pStyle w:val="6"/>
        <w:spacing w:line="560" w:lineRule="exact"/>
        <w:ind w:firstLine="640"/>
        <w:rPr>
          <w:rFonts w:hint="default" w:ascii="黑体" w:eastAsia="黑体"/>
          <w:sz w:val="32"/>
        </w:rPr>
      </w:pPr>
    </w:p>
    <w:p>
      <w:pPr>
        <w:spacing w:line="560" w:lineRule="exact"/>
        <w:ind w:firstLine="480" w:firstLineChars="150"/>
        <w:rPr>
          <w:rFonts w:hint="default" w:ascii="黑体" w:hAnsi="黑体" w:eastAsia="黑体" w:cs="黑体"/>
          <w:b/>
          <w:bCs/>
          <w:color w:val="FF0000"/>
          <w:sz w:val="32"/>
          <w:szCs w:val="32"/>
        </w:rPr>
      </w:pPr>
      <w:r>
        <w:rPr>
          <w:rFonts w:ascii="黑体" w:eastAsia="黑体"/>
          <w:sz w:val="32"/>
        </w:rPr>
        <w:t>一、主要职责</w:t>
      </w:r>
    </w:p>
    <w:p>
      <w:pPr>
        <w:spacing w:line="560" w:lineRule="exact"/>
        <w:ind w:firstLine="480" w:firstLineChars="150"/>
        <w:rPr>
          <w:rFonts w:hint="default" w:ascii="仿宋_GB2312" w:eastAsia="仿宋_GB2312"/>
          <w:sz w:val="32"/>
        </w:rPr>
      </w:pPr>
      <w:r>
        <w:rPr>
          <w:rFonts w:ascii="仿宋_GB2312" w:eastAsia="仿宋_GB2312"/>
          <w:sz w:val="32"/>
        </w:rPr>
        <w:t>（一）、我校的宗旨和业务范围是实施智障儿童、少年义务教育，康复训练与治疗相结合。</w:t>
      </w:r>
    </w:p>
    <w:p>
      <w:pPr>
        <w:spacing w:line="560" w:lineRule="exact"/>
        <w:ind w:firstLine="480" w:firstLineChars="150"/>
        <w:rPr>
          <w:rFonts w:hint="default" w:ascii="仿宋_GB2312" w:eastAsia="仿宋_GB2312"/>
          <w:sz w:val="32"/>
        </w:rPr>
      </w:pPr>
      <w:r>
        <w:rPr>
          <w:rFonts w:ascii="仿宋_GB2312" w:eastAsia="仿宋_GB2312"/>
          <w:sz w:val="32"/>
        </w:rPr>
        <w:t>（二）、为更好的顺利完成教育教学任务，制定完善各项规章制度。</w:t>
      </w:r>
    </w:p>
    <w:p>
      <w:pPr>
        <w:spacing w:line="560" w:lineRule="exact"/>
        <w:ind w:firstLine="480" w:firstLineChars="150"/>
        <w:rPr>
          <w:rFonts w:hint="default" w:ascii="仿宋_GB2312" w:eastAsia="仿宋_GB2312"/>
          <w:sz w:val="32"/>
        </w:rPr>
      </w:pPr>
      <w:r>
        <w:rPr>
          <w:rFonts w:ascii="仿宋_GB2312" w:eastAsia="仿宋_GB2312"/>
          <w:sz w:val="32"/>
        </w:rPr>
        <w:t>（三）、为了充分利用好各项经费，发挥最大作用，保障教育教学工作顺利完成，做好收支管理的工作；编制年度预算并按预算下达认真贯彻执行；积极配合国库收付中心开展工作。</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b/>
          <w:sz w:val="36"/>
        </w:rPr>
      </w:pPr>
      <w:r>
        <w:rPr>
          <w:rFonts w:ascii="仿宋_GB2312" w:hAnsi="仿宋_GB2312" w:eastAsia="仿宋_GB2312" w:cs="仿宋_GB2312"/>
          <w:b w:val="0"/>
          <w:bCs/>
          <w:sz w:val="32"/>
          <w:szCs w:val="32"/>
        </w:rPr>
        <w:t>本单位是纳入浑南区教育局的二级预算单位，本单位无下设机构。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第二部分 沈阳市浑南区阳光学校2022年决算情况说明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（一）收入总计362.25万元，包括：</w:t>
      </w:r>
      <w:r>
        <w:rPr>
          <w:rFonts w:hint="default" w:ascii="楷体_GB2312" w:eastAsia="楷体_GB2312"/>
          <w:b/>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1.财政拨款收入354.79万元，占收入总计的97.94%。其中：一般公共预算财政拨款收入354.79万元。</w:t>
      </w:r>
    </w:p>
    <w:p>
      <w:pPr>
        <w:pStyle w:val="6"/>
        <w:spacing w:line="560" w:lineRule="exact"/>
        <w:ind w:firstLine="660"/>
        <w:rPr>
          <w:rFonts w:hint="default" w:ascii="仿宋_GB2312" w:eastAsia="仿宋_GB2312"/>
          <w:sz w:val="32"/>
        </w:rPr>
      </w:pPr>
      <w:r>
        <w:rPr>
          <w:rFonts w:ascii="仿宋_GB2312" w:eastAsia="仿宋_GB2312"/>
          <w:sz w:val="32"/>
        </w:rPr>
        <w:t>2.上年结转和结余7.46万元，占收入总计的2.06%。主要是设备质保金等。</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与上年相比，今年收入减少224.17万元，降低38.23%，主要原因：上一年学校购置了一批特殊教育专用器材，本年没有产生此项费用，导致财政拨款收入的减少。</w:t>
      </w:r>
    </w:p>
    <w:p>
      <w:pPr>
        <w:pStyle w:val="6"/>
        <w:spacing w:line="560" w:lineRule="exact"/>
        <w:ind w:firstLine="660"/>
        <w:rPr>
          <w:rFonts w:hint="default" w:ascii="楷体_GB2312" w:eastAsia="楷体_GB2312"/>
          <w:b/>
          <w:sz w:val="32"/>
        </w:rPr>
      </w:pPr>
      <w:r>
        <w:rPr>
          <w:rFonts w:ascii="楷体_GB2312" w:eastAsia="楷体_GB2312"/>
          <w:b/>
          <w:sz w:val="32"/>
        </w:rPr>
        <w:t>（二）支出总计354.79万元，包括：</w:t>
      </w:r>
      <w:r>
        <w:rPr>
          <w:rFonts w:hint="default" w:ascii="楷体_GB2312" w:eastAsia="楷体_GB2312"/>
          <w:b/>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1.基本支出297.37万元，占支出总计的83.82%。主要是为保障机构正常运转、完成日常工作任务而发生的各项支出，其中：工资福利支出269.70万元，对个人和家庭的补助支出0.77万元，商品和服务支出18.91万元，资本性支出8万元。</w:t>
      </w:r>
    </w:p>
    <w:p>
      <w:pPr>
        <w:pStyle w:val="6"/>
        <w:spacing w:line="560" w:lineRule="exact"/>
        <w:ind w:firstLine="660"/>
        <w:rPr>
          <w:rFonts w:hint="default" w:ascii="仿宋_GB2312" w:eastAsia="仿宋_GB2312"/>
          <w:sz w:val="32"/>
        </w:rPr>
      </w:pPr>
      <w:r>
        <w:rPr>
          <w:rFonts w:ascii="仿宋_GB2312" w:eastAsia="仿宋_GB2312"/>
          <w:sz w:val="32"/>
        </w:rPr>
        <w:t>2.项目支出57.41万元，占支出总计的16.18%。主要包括</w:t>
      </w:r>
      <w:r>
        <w:rPr>
          <w:rFonts w:ascii="仿宋_GB2312" w:eastAsia="仿宋_GB2312"/>
          <w:sz w:val="32"/>
          <w:szCs w:val="32"/>
        </w:rPr>
        <w:t>更换学校门窗，学校采暖费等业务支出</w:t>
      </w:r>
      <w:r>
        <w:rPr>
          <w:rFonts w:ascii="仿宋_GB2312" w:eastAsia="仿宋_GB2312"/>
          <w:sz w:val="32"/>
        </w:rPr>
        <w:t>。</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与上年相比，今年支出减少224.17万元，降低38.72%，主要原因：上一年学校购置了一批特殊教育专用器材，本年没有产生此项费用。</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（三）年末结转和结余7.46万元</w:t>
      </w:r>
    </w:p>
    <w:p>
      <w:pPr>
        <w:pStyle w:val="6"/>
        <w:spacing w:line="560" w:lineRule="exact"/>
        <w:ind w:firstLine="660"/>
        <w:rPr>
          <w:rFonts w:hint="default" w:ascii="仿宋_GB2312" w:eastAsia="仿宋_GB2312"/>
          <w:sz w:val="32"/>
        </w:rPr>
      </w:pPr>
      <w:r>
        <w:rPr>
          <w:rFonts w:ascii="仿宋_GB2312" w:eastAsia="仿宋_GB2312"/>
          <w:sz w:val="32"/>
        </w:rPr>
        <w:t>主要是设备质保金等原因形成的结余。与上年相比，今年结转结余与上年持平。</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2022年度财政拨款支出354.79万元，其中：基本支出297.37万元，项目支出57.41万元。与上年相比，财政拨款支出减少224.17万元，降低38.72%，主要原因：上一年学校购置了一批特殊教育专用器材，本年没有产生此项费用。与年初预算相比，2022年度财政拨款支出完成年初预算的142.63%，其中：基本支出完成年初预算的119.55%，项目支出我单位未安排年初预算。</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2022年度一般公共预算财政拨款支出354.79万元，按支出功能分类科目分，包括：教育支出314.39万元，占88.61%；社会保障和就业支出28.25万元，占7.96%；卫生健康支出12.14万元，占3.42%。</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1.教育支出314.39万元，具体包括：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特殊学校教育支出314.39万元，主要是人员工资、学校办公经费、更换学校门窗，学生校车运营等支出，完成年初预算的126.39%，决算数大于年初预算数的原因主要是：更换学校门窗的费用未列入年初预算，为局领导视察后临时追加项目。</w:t>
      </w:r>
    </w:p>
    <w:p>
      <w:pPr>
        <w:widowControl w:val="0"/>
        <w:numPr>
          <w:ilvl w:val="0"/>
          <w:numId w:val="0"/>
        </w:numPr>
        <w:ind w:firstLine="640" w:firstLineChars="200"/>
        <w:jc w:val="both"/>
        <w:rPr>
          <w:rFonts w:hint="eastAsia" w:ascii="仿宋_GB2312" w:eastAsia="仿宋_GB2312"/>
          <w:color w:val="FF0000"/>
          <w:sz w:val="32"/>
          <w:szCs w:val="32"/>
          <w:lang w:val="en-US" w:eastAsia="zh-CN"/>
        </w:rPr>
      </w:pPr>
      <w:r>
        <w:rPr>
          <w:rFonts w:ascii="仿宋_GB2312" w:hAnsi="宋体" w:eastAsia="仿宋_GB2312"/>
          <w:sz w:val="32"/>
          <w:szCs w:val="32"/>
        </w:rPr>
        <w:t>2、社会保障和就业支出28.25万元，</w:t>
      </w:r>
      <w:r>
        <w:rPr>
          <w:rFonts w:ascii="仿宋_GB2312" w:hAnsi="宋体" w:eastAsia="仿宋_GB2312"/>
          <w:sz w:val="32"/>
        </w:rPr>
        <w:t>用于在职养老保险缴费和退休教师取暖费等</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p>
    <w:p>
      <w:pPr>
        <w:widowControl w:val="0"/>
        <w:numPr>
          <w:ilvl w:val="0"/>
          <w:numId w:val="0"/>
        </w:numPr>
        <w:ind w:firstLine="640" w:firstLineChars="200"/>
        <w:jc w:val="both"/>
        <w:rPr>
          <w:rFonts w:hint="eastAsia" w:ascii="仿宋_GB2312" w:eastAsia="仿宋_GB2312"/>
          <w:color w:val="FF0000"/>
          <w:sz w:val="32"/>
          <w:szCs w:val="32"/>
          <w:lang w:val="en-US" w:eastAsia="zh-CN"/>
        </w:rPr>
      </w:pPr>
      <w:bookmarkStart w:id="0" w:name="_GoBack"/>
      <w:bookmarkEnd w:id="0"/>
      <w:r>
        <w:rPr>
          <w:rFonts w:ascii="仿宋_GB2312" w:hAnsi="宋体" w:eastAsia="仿宋_GB2312"/>
          <w:sz w:val="32"/>
          <w:szCs w:val="32"/>
        </w:rPr>
        <w:t>3、卫生健康支出12.14万元，</w:t>
      </w:r>
      <w:r>
        <w:rPr>
          <w:rFonts w:ascii="仿宋_GB2312" w:hAnsi="宋体" w:eastAsia="仿宋_GB2312"/>
          <w:sz w:val="32"/>
        </w:rPr>
        <w:t>用于教师的基本医疗保险缴费和医疗费等</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p>
    <w:p>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2022年度政府性基金预算财政拨款支出0万元，本年未发生此项资金。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2022年度国有资本经营预算财政拨款支出0万元，本年未发生此项资金。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2022年度一般公共预算财政拨款安排的“三公”经费支出0万元。其中：因公出国（境）费0万元，公务接待费0万元，公务用车购置及运行维护费0万元。</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1.因公出国（境）费0万元。2022年参加出国（境）团组0个，累计0人次。2022年因公出国（境）费比上年减少0万元，下降0%，主要是均无出国任务。</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2.公务接待费0万元。2022年国内公务接待累计0批次、0人、0万元；其中外事接待累计0批次、0人、0万元。2022年公务接待费比上年减少0万元，下降0%，主要是均无公务接待事项。</w:t>
      </w:r>
    </w:p>
    <w:p>
      <w:pPr>
        <w:spacing w:line="540" w:lineRule="exact"/>
        <w:ind w:firstLine="645"/>
        <w:rPr>
          <w:rFonts w:hint="default" w:ascii="仿宋_GB2312" w:hAnsi="宋体" w:eastAsia="仿宋_GB2312"/>
          <w:sz w:val="32"/>
          <w:szCs w:val="32"/>
        </w:rPr>
      </w:pPr>
      <w:r>
        <w:rPr>
          <w:rFonts w:ascii="仿宋_GB2312" w:hAnsi="宋体" w:eastAsia="仿宋_GB2312"/>
          <w:sz w:val="32"/>
          <w:szCs w:val="32"/>
        </w:rPr>
        <w:t>3.公务用车购置及运行费0万元。比上年减少0万元，下降0%，主要是本单位无公务用车。</w:t>
      </w:r>
    </w:p>
    <w:p>
      <w:pPr>
        <w:pStyle w:val="6"/>
        <w:autoSpaceDN w:val="0"/>
        <w:spacing w:line="560" w:lineRule="exact"/>
        <w:ind w:firstLine="640"/>
        <w:rPr>
          <w:rFonts w:hint="default" w:ascii="仿宋_GB2312" w:eastAsia="仿宋_GB2312"/>
          <w:sz w:val="32"/>
        </w:rPr>
      </w:pPr>
      <w:r>
        <w:rPr>
          <w:rFonts w:ascii="仿宋_GB2312" w:eastAsia="仿宋_GB2312"/>
          <w:sz w:val="32"/>
          <w:szCs w:val="32"/>
        </w:rPr>
        <w:t>其中：公务用车购置费0万元,当年购置公务用车0辆。公务用车运行维护费0万元，截至年末使用一般公共预算财政拨款开支运行维护费的公务用车保有量0辆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354.79万元，其中：人员经费269.70万元，主要包括基本工资、津贴补贴、奖金、伙食补助、绩效工资、其他社会保障缴费、机关事业单位基本养老保险缴费、职业年金缴费、职工基本医疗保险缴费、退休费、住房公积金、公务员医疗补助缴费的支出；日常公用经费26.91万元，主要包括办公费、电费、物业费、维修（护）费、租赁费、专用材料费、委托业务费、工会经费、其他交通费用、其他商品和服务支出、办公设备购置。</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2022年度机关运行经费支出0万元， 与上年持平，主要原因是沈阳市浑南区阳光学校属于事业单位，无机关运行经费。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spacing w:line="54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截至2022年12月31日，共有车辆0辆；单位价值50万元以上通用设备0台（套），单价100万元以上专用设备0台（套）。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20" w:lineRule="exact"/>
        <w:ind w:firstLine="643" w:firstLineChars="200"/>
        <w:jc w:val="left"/>
        <w:rPr>
          <w:rFonts w:hint="default" w:ascii="仿宋_GB2312" w:hAnsi="仿宋_GB2312" w:eastAsia="仿宋_GB2312" w:cs="仿宋_GB2312"/>
          <w:b/>
          <w:sz w:val="32"/>
          <w:szCs w:val="32"/>
          <w:lang w:bidi="ar"/>
        </w:rPr>
      </w:pPr>
      <w:r>
        <w:rPr>
          <w:rFonts w:ascii="仿宋_GB2312" w:hAnsi="仿宋_GB2312" w:eastAsia="仿宋_GB2312" w:cs="仿宋_GB2312"/>
          <w:b/>
          <w:sz w:val="32"/>
          <w:szCs w:val="32"/>
          <w:lang w:bidi="ar"/>
        </w:rPr>
        <w:t>1.绩效评价工作开展情况。</w:t>
      </w:r>
    </w:p>
    <w:p>
      <w:pPr>
        <w:widowControl/>
        <w:spacing w:line="520" w:lineRule="exact"/>
        <w:ind w:firstLine="640" w:firstLineChars="200"/>
        <w:jc w:val="left"/>
        <w:rPr>
          <w:rFonts w:hint="default" w:ascii="仿宋_GB2312" w:hAnsi="仿宋_GB2312" w:eastAsia="仿宋_GB2312" w:cs="仿宋_GB2312"/>
        </w:rPr>
      </w:pPr>
      <w:r>
        <w:rPr>
          <w:rFonts w:ascii="仿宋_GB2312" w:hAnsi="仿宋_GB2312" w:eastAsia="仿宋_GB2312" w:cs="仿宋_GB2312"/>
          <w:sz w:val="32"/>
          <w:szCs w:val="32"/>
          <w:lang w:bidi="ar"/>
        </w:rPr>
        <w:t>我</w:t>
      </w:r>
      <w:r>
        <w:rPr>
          <w:rFonts w:hint="eastAsia" w:ascii="仿宋_GB2312" w:hAnsi="仿宋_GB2312" w:eastAsia="仿宋_GB2312" w:cs="仿宋_GB2312"/>
          <w:sz w:val="32"/>
          <w:szCs w:val="32"/>
          <w:lang w:eastAsia="zh-CN" w:bidi="ar"/>
        </w:rPr>
        <w:t>部门</w:t>
      </w:r>
      <w:r>
        <w:rPr>
          <w:rFonts w:ascii="仿宋_GB2312" w:hAnsi="仿宋_GB2312" w:eastAsia="仿宋_GB2312" w:cs="仿宋_GB2312"/>
          <w:sz w:val="32"/>
          <w:szCs w:val="32"/>
          <w:lang w:bidi="ar"/>
        </w:rPr>
        <w:t>2022年度</w:t>
      </w:r>
      <w:r>
        <w:rPr>
          <w:rFonts w:hint="eastAsia" w:ascii="仿宋_GB2312" w:hAnsi="仿宋_GB2312" w:eastAsia="仿宋_GB2312" w:cs="仿宋_GB2312"/>
          <w:sz w:val="32"/>
          <w:szCs w:val="32"/>
          <w:lang w:eastAsia="zh-CN" w:bidi="ar"/>
        </w:rPr>
        <w:t>不涉及特定目标类项目，因此</w:t>
      </w:r>
      <w:r>
        <w:rPr>
          <w:rFonts w:ascii="仿宋_GB2312" w:hAnsi="仿宋_GB2312" w:eastAsia="仿宋_GB2312" w:cs="仿宋_GB2312"/>
          <w:sz w:val="32"/>
          <w:szCs w:val="32"/>
          <w:lang w:bidi="ar"/>
        </w:rPr>
        <w:t>未开展绩效评价工作。</w:t>
      </w:r>
    </w:p>
    <w:p>
      <w:pPr>
        <w:widowControl/>
        <w:spacing w:line="520" w:lineRule="exact"/>
        <w:ind w:firstLine="643" w:firstLineChars="200"/>
        <w:jc w:val="left"/>
        <w:rPr>
          <w:rFonts w:hint="default" w:ascii="仿宋_GB2312" w:hAnsi="宋体" w:eastAsia="仿宋_GB2312" w:cs="仿宋_GB2312"/>
          <w:b/>
          <w:bCs/>
          <w:sz w:val="32"/>
          <w:szCs w:val="32"/>
          <w:lang w:bidi="ar"/>
        </w:rPr>
      </w:pPr>
      <w:r>
        <w:rPr>
          <w:rFonts w:ascii="仿宋_GB2312" w:hAnsi="宋体" w:eastAsia="仿宋_GB2312" w:cs="仿宋_GB2312"/>
          <w:b/>
          <w:bCs/>
          <w:sz w:val="32"/>
          <w:szCs w:val="32"/>
          <w:lang w:bidi="ar"/>
        </w:rPr>
        <w:t>2.项目绩效自评结果。</w:t>
      </w:r>
    </w:p>
    <w:p>
      <w:pPr>
        <w:widowControl/>
        <w:spacing w:line="520" w:lineRule="exact"/>
        <w:ind w:firstLine="640" w:firstLineChars="200"/>
        <w:jc w:val="left"/>
        <w:rPr>
          <w:rFonts w:hint="default" w:ascii="仿宋_GB2312" w:hAnsi="宋体" w:eastAsia="仿宋_GB2312" w:cs="仿宋_GB2312"/>
          <w:bCs/>
          <w:sz w:val="32"/>
          <w:szCs w:val="32"/>
          <w:lang w:bidi="ar"/>
        </w:rPr>
      </w:pPr>
      <w:r>
        <w:rPr>
          <w:rFonts w:ascii="仿宋_GB2312" w:hAnsi="仿宋_GB2312" w:eastAsia="仿宋_GB2312" w:cs="仿宋_GB2312"/>
          <w:sz w:val="32"/>
          <w:szCs w:val="32"/>
          <w:lang w:bidi="ar"/>
        </w:rPr>
        <w:t>我</w:t>
      </w:r>
      <w:r>
        <w:rPr>
          <w:rFonts w:hint="eastAsia" w:ascii="仿宋_GB2312" w:hAnsi="仿宋_GB2312" w:eastAsia="仿宋_GB2312" w:cs="仿宋_GB2312"/>
          <w:sz w:val="32"/>
          <w:szCs w:val="32"/>
          <w:lang w:eastAsia="zh-CN" w:bidi="ar"/>
        </w:rPr>
        <w:t>部门</w:t>
      </w:r>
      <w:r>
        <w:rPr>
          <w:rFonts w:ascii="仿宋_GB2312" w:hAnsi="仿宋_GB2312" w:eastAsia="仿宋_GB2312" w:cs="仿宋_GB2312"/>
          <w:sz w:val="32"/>
          <w:szCs w:val="32"/>
          <w:lang w:bidi="ar"/>
        </w:rPr>
        <w:t>2022年度</w:t>
      </w:r>
      <w:r>
        <w:rPr>
          <w:rFonts w:hint="eastAsia" w:ascii="仿宋_GB2312" w:hAnsi="仿宋_GB2312" w:eastAsia="仿宋_GB2312" w:cs="仿宋_GB2312"/>
          <w:sz w:val="32"/>
          <w:szCs w:val="32"/>
          <w:lang w:eastAsia="zh-CN" w:bidi="ar"/>
        </w:rPr>
        <w:t>不涉及特定目标类项目，因此</w:t>
      </w:r>
      <w:r>
        <w:rPr>
          <w:rFonts w:ascii="仿宋_GB2312" w:hAnsi="仿宋_GB2312" w:eastAsia="仿宋_GB2312" w:cs="仿宋_GB2312"/>
          <w:sz w:val="32"/>
          <w:szCs w:val="32"/>
          <w:lang w:bidi="ar"/>
        </w:rPr>
        <w:t>未开展绩效评价工作</w:t>
      </w:r>
      <w:r>
        <w:rPr>
          <w:rFonts w:ascii="仿宋_GB2312" w:hAnsi="宋体" w:eastAsia="仿宋_GB2312" w:cs="仿宋_GB2312"/>
          <w:bCs/>
          <w:sz w:val="32"/>
          <w:szCs w:val="32"/>
          <w:lang w:bidi="ar"/>
        </w:rPr>
        <w:t>。</w:t>
      </w:r>
    </w:p>
    <w:p>
      <w:pPr>
        <w:widowControl/>
        <w:spacing w:line="520" w:lineRule="exact"/>
        <w:ind w:firstLine="643" w:firstLineChars="200"/>
        <w:jc w:val="left"/>
        <w:rPr>
          <w:rFonts w:hint="default" w:ascii="仿宋_GB2312" w:hAnsi="宋体" w:eastAsia="仿宋_GB2312" w:cs="仿宋_GB2312"/>
          <w:b/>
          <w:bCs/>
          <w:sz w:val="32"/>
          <w:szCs w:val="32"/>
          <w:lang w:bidi="ar"/>
        </w:rPr>
      </w:pPr>
      <w:r>
        <w:rPr>
          <w:rFonts w:ascii="仿宋_GB2312" w:hAnsi="宋体" w:eastAsia="仿宋_GB2312" w:cs="仿宋_GB2312"/>
          <w:b/>
          <w:bCs/>
          <w:sz w:val="32"/>
          <w:szCs w:val="32"/>
          <w:lang w:bidi="ar"/>
        </w:rPr>
        <w:t>3.部门评价结果。</w:t>
      </w:r>
    </w:p>
    <w:p>
      <w:pPr>
        <w:widowControl/>
        <w:spacing w:line="520" w:lineRule="exact"/>
        <w:ind w:firstLine="640" w:firstLineChars="200"/>
        <w:jc w:val="left"/>
        <w:rPr>
          <w:rFonts w:hint="default" w:ascii="仿宋_GB2312" w:hAnsi="宋体" w:eastAsia="仿宋_GB2312" w:cs="仿宋_GB2312"/>
          <w:bCs/>
          <w:sz w:val="32"/>
          <w:szCs w:val="32"/>
          <w:lang w:bidi="ar"/>
        </w:rPr>
      </w:pPr>
      <w:r>
        <w:rPr>
          <w:rFonts w:ascii="仿宋_GB2312" w:hAnsi="仿宋_GB2312" w:eastAsia="仿宋_GB2312" w:cs="仿宋_GB2312"/>
          <w:sz w:val="32"/>
          <w:szCs w:val="32"/>
          <w:lang w:bidi="ar"/>
        </w:rPr>
        <w:t>我</w:t>
      </w:r>
      <w:r>
        <w:rPr>
          <w:rFonts w:hint="eastAsia" w:ascii="仿宋_GB2312" w:hAnsi="仿宋_GB2312" w:eastAsia="仿宋_GB2312" w:cs="仿宋_GB2312"/>
          <w:sz w:val="32"/>
          <w:szCs w:val="32"/>
          <w:lang w:eastAsia="zh-CN" w:bidi="ar"/>
        </w:rPr>
        <w:t>部门</w:t>
      </w:r>
      <w:r>
        <w:rPr>
          <w:rFonts w:ascii="仿宋_GB2312" w:hAnsi="仿宋_GB2312" w:eastAsia="仿宋_GB2312" w:cs="仿宋_GB2312"/>
          <w:sz w:val="32"/>
          <w:szCs w:val="32"/>
          <w:lang w:bidi="ar"/>
        </w:rPr>
        <w:t>2022年度</w:t>
      </w:r>
      <w:r>
        <w:rPr>
          <w:rFonts w:hint="eastAsia" w:ascii="仿宋_GB2312" w:hAnsi="仿宋_GB2312" w:eastAsia="仿宋_GB2312" w:cs="仿宋_GB2312"/>
          <w:sz w:val="32"/>
          <w:szCs w:val="32"/>
          <w:lang w:eastAsia="zh-CN" w:bidi="ar"/>
        </w:rPr>
        <w:t>不涉及特定目标类项目，因此</w:t>
      </w:r>
      <w:r>
        <w:rPr>
          <w:rFonts w:ascii="仿宋_GB2312" w:hAnsi="仿宋_GB2312" w:eastAsia="仿宋_GB2312" w:cs="仿宋_GB2312"/>
          <w:sz w:val="32"/>
          <w:szCs w:val="32"/>
          <w:lang w:bidi="ar"/>
        </w:rPr>
        <w:t>未开展绩效评价工作</w:t>
      </w:r>
      <w:r>
        <w:rPr>
          <w:rFonts w:ascii="仿宋_GB2312" w:hAnsi="宋体" w:eastAsia="仿宋_GB2312" w:cs="仿宋_GB2312"/>
          <w:bCs/>
          <w:sz w:val="32"/>
          <w:szCs w:val="32"/>
          <w:lang w:bidi="ar"/>
        </w:rPr>
        <w:t>。</w:t>
      </w:r>
    </w:p>
    <w:p>
      <w:pPr>
        <w:widowControl/>
        <w:spacing w:line="520" w:lineRule="exact"/>
        <w:ind w:firstLine="643" w:firstLineChars="200"/>
        <w:jc w:val="left"/>
        <w:rPr>
          <w:rFonts w:hint="default" w:ascii="仿宋_GB2312" w:hAnsi="宋体" w:eastAsia="仿宋_GB2312" w:cs="仿宋_GB2312"/>
          <w:b/>
          <w:bCs/>
          <w:sz w:val="32"/>
          <w:szCs w:val="32"/>
          <w:lang w:bidi="ar"/>
        </w:rPr>
      </w:pPr>
      <w:r>
        <w:rPr>
          <w:rFonts w:ascii="仿宋_GB2312" w:hAnsi="宋体" w:eastAsia="仿宋_GB2312" w:cs="仿宋_GB2312"/>
          <w:b/>
          <w:bCs/>
          <w:sz w:val="32"/>
          <w:szCs w:val="32"/>
          <w:lang w:bidi="ar"/>
        </w:rPr>
        <w:t>4.财政评价结果。</w:t>
      </w:r>
    </w:p>
    <w:p>
      <w:pPr>
        <w:pStyle w:val="6"/>
        <w:spacing w:line="560" w:lineRule="exact"/>
        <w:ind w:firstLine="640" w:firstLineChars="200"/>
        <w:rPr>
          <w:rFonts w:hint="default"/>
          <w:sz w:val="36"/>
        </w:rPr>
      </w:pPr>
      <w:r>
        <w:rPr>
          <w:rFonts w:ascii="仿宋_GB2312" w:hAnsi="仿宋_GB2312" w:eastAsia="仿宋_GB2312" w:cs="仿宋_GB2312"/>
          <w:sz w:val="32"/>
          <w:szCs w:val="32"/>
          <w:lang w:bidi="ar"/>
        </w:rPr>
        <w:t>我</w:t>
      </w:r>
      <w:r>
        <w:rPr>
          <w:rFonts w:hint="eastAsia" w:ascii="仿宋_GB2312" w:hAnsi="仿宋_GB2312" w:eastAsia="仿宋_GB2312" w:cs="仿宋_GB2312"/>
          <w:sz w:val="32"/>
          <w:szCs w:val="32"/>
          <w:lang w:eastAsia="zh-CN" w:bidi="ar"/>
        </w:rPr>
        <w:t>部门</w:t>
      </w:r>
      <w:r>
        <w:rPr>
          <w:rFonts w:ascii="仿宋_GB2312" w:hAnsi="仿宋_GB2312" w:eastAsia="仿宋_GB2312" w:cs="仿宋_GB2312"/>
          <w:sz w:val="32"/>
          <w:szCs w:val="32"/>
          <w:lang w:bidi="ar"/>
        </w:rPr>
        <w:t>2022年度</w:t>
      </w:r>
      <w:r>
        <w:rPr>
          <w:rFonts w:hint="eastAsia" w:ascii="仿宋_GB2312" w:hAnsi="仿宋_GB2312" w:eastAsia="仿宋_GB2312" w:cs="仿宋_GB2312"/>
          <w:sz w:val="32"/>
          <w:szCs w:val="32"/>
          <w:lang w:eastAsia="zh-CN" w:bidi="ar"/>
        </w:rPr>
        <w:t>不涉及特定目标类项目，因此</w:t>
      </w:r>
      <w:r>
        <w:rPr>
          <w:rFonts w:ascii="仿宋_GB2312" w:hAnsi="仿宋_GB2312" w:eastAsia="仿宋_GB2312" w:cs="仿宋_GB2312"/>
          <w:sz w:val="32"/>
          <w:szCs w:val="32"/>
          <w:lang w:bidi="ar"/>
        </w:rPr>
        <w:t>未开展绩效评价工作</w:t>
      </w:r>
      <w:r>
        <w:rPr>
          <w:rFonts w:ascii="仿宋_GB2312" w:eastAsia="仿宋_GB2312" w:cs="仿宋_GB2312"/>
          <w:bCs/>
          <w:sz w:val="32"/>
          <w:szCs w:val="32"/>
          <w:lang w:bidi="ar"/>
        </w:rPr>
        <w:t>。</w:t>
      </w:r>
    </w:p>
    <w:p>
      <w:pPr>
        <w:pStyle w:val="9"/>
        <w:autoSpaceDN w:val="0"/>
        <w:spacing w:line="560" w:lineRule="exact"/>
        <w:ind w:firstLine="2530" w:firstLineChars="700"/>
        <w:rPr>
          <w:rFonts w:hint="eastAsia"/>
          <w:b/>
          <w:bCs/>
          <w:sz w:val="36"/>
          <w:szCs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第四部分沈阳市浑南区阳光学校2022年度决算表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1"/>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45F8C"/>
    <w:rsid w:val="00060165"/>
    <w:rsid w:val="000B3A09"/>
    <w:rsid w:val="000B596F"/>
    <w:rsid w:val="00100607"/>
    <w:rsid w:val="001447C0"/>
    <w:rsid w:val="0019643E"/>
    <w:rsid w:val="001B3CAB"/>
    <w:rsid w:val="001C6CD8"/>
    <w:rsid w:val="001C71A5"/>
    <w:rsid w:val="001D0B4A"/>
    <w:rsid w:val="002003E2"/>
    <w:rsid w:val="00262F6E"/>
    <w:rsid w:val="00320394"/>
    <w:rsid w:val="00342E31"/>
    <w:rsid w:val="003631C2"/>
    <w:rsid w:val="0038444A"/>
    <w:rsid w:val="00387684"/>
    <w:rsid w:val="003D485C"/>
    <w:rsid w:val="0044142C"/>
    <w:rsid w:val="00485722"/>
    <w:rsid w:val="00505889"/>
    <w:rsid w:val="00510A39"/>
    <w:rsid w:val="005812D3"/>
    <w:rsid w:val="005814A4"/>
    <w:rsid w:val="00585D02"/>
    <w:rsid w:val="00590A8D"/>
    <w:rsid w:val="005C4DCE"/>
    <w:rsid w:val="00671612"/>
    <w:rsid w:val="00672636"/>
    <w:rsid w:val="00753B9D"/>
    <w:rsid w:val="00756329"/>
    <w:rsid w:val="007F77B9"/>
    <w:rsid w:val="008040A1"/>
    <w:rsid w:val="00954778"/>
    <w:rsid w:val="009F30F3"/>
    <w:rsid w:val="00A17144"/>
    <w:rsid w:val="00A5357A"/>
    <w:rsid w:val="00A57A14"/>
    <w:rsid w:val="00AA24B8"/>
    <w:rsid w:val="00AC55F7"/>
    <w:rsid w:val="00B54181"/>
    <w:rsid w:val="00BC09C4"/>
    <w:rsid w:val="00C50ADE"/>
    <w:rsid w:val="00C61CD6"/>
    <w:rsid w:val="00CE4011"/>
    <w:rsid w:val="00DC3915"/>
    <w:rsid w:val="00E4305D"/>
    <w:rsid w:val="00F16B2B"/>
    <w:rsid w:val="00F34ED3"/>
    <w:rsid w:val="00F67249"/>
    <w:rsid w:val="00F724E9"/>
    <w:rsid w:val="01622E76"/>
    <w:rsid w:val="082C6248"/>
    <w:rsid w:val="09C4782E"/>
    <w:rsid w:val="0ECB7368"/>
    <w:rsid w:val="0FD91C07"/>
    <w:rsid w:val="11612EA5"/>
    <w:rsid w:val="12CC5588"/>
    <w:rsid w:val="131E2240"/>
    <w:rsid w:val="1B9703C5"/>
    <w:rsid w:val="1C635C29"/>
    <w:rsid w:val="1C6537BA"/>
    <w:rsid w:val="286C4199"/>
    <w:rsid w:val="28977847"/>
    <w:rsid w:val="2A3D2189"/>
    <w:rsid w:val="2E4F6256"/>
    <w:rsid w:val="36230505"/>
    <w:rsid w:val="3BA207ED"/>
    <w:rsid w:val="43ED4466"/>
    <w:rsid w:val="46CA2860"/>
    <w:rsid w:val="474C6DD1"/>
    <w:rsid w:val="54F6469B"/>
    <w:rsid w:val="555E4C22"/>
    <w:rsid w:val="59C52B8D"/>
    <w:rsid w:val="5AE973A2"/>
    <w:rsid w:val="5B697371"/>
    <w:rsid w:val="67277FC8"/>
    <w:rsid w:val="673C6F2C"/>
    <w:rsid w:val="6DA15E5C"/>
    <w:rsid w:val="6FE5071F"/>
    <w:rsid w:val="70C70595"/>
    <w:rsid w:val="724179B2"/>
    <w:rsid w:val="72B55C86"/>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3373</Words>
  <Characters>3676</Characters>
  <Lines>27</Lines>
  <Paragraphs>7</Paragraphs>
  <TotalTime>0</TotalTime>
  <ScaleCrop>false</ScaleCrop>
  <LinksUpToDate>false</LinksUpToDate>
  <CharactersWithSpaces>3709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2023-09-15T08:21:28Z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D8C3D86190044CF79FC5E9FC38194C98_13</vt:lpwstr>
  </property>
</Properties>
</file>