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辽宁省沈阳市第七十三中学2022年决算公开说明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辽宁省沈阳市第七十三中学概况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黑体" w:eastAsia="黑体"/>
          <w:sz w:val="32"/>
        </w:rPr>
      </w:pPr>
      <w:r>
        <w:rPr>
          <w:rFonts w:ascii="仿宋_GB2312" w:eastAsia="仿宋_GB2312"/>
          <w:sz w:val="32"/>
        </w:rPr>
        <w:t>（一）组织教育教学、科学研究活动，保证教育教学质量。维护教职工利益，保障教职工合法权益，以教职工和学生的人生幸福和生命质量作为重点。</w:t>
      </w:r>
    </w:p>
    <w:p>
      <w:pPr>
        <w:pStyle w:val="6"/>
        <w:spacing w:line="560" w:lineRule="exact"/>
        <w:ind w:firstLine="640"/>
        <w:rPr>
          <w:rFonts w:hint="default" w:ascii="黑体" w:eastAsia="黑体"/>
          <w:sz w:val="32"/>
        </w:rPr>
      </w:pPr>
      <w:r>
        <w:rPr>
          <w:rFonts w:ascii="仿宋_GB2312" w:eastAsia="仿宋_GB2312"/>
          <w:sz w:val="32"/>
        </w:rPr>
        <w:t>（二) 制定学校发展规划，并抓好组织实施和落实情况。</w:t>
      </w:r>
    </w:p>
    <w:p>
      <w:pPr>
        <w:pStyle w:val="6"/>
        <w:spacing w:line="560" w:lineRule="exact"/>
        <w:ind w:firstLine="640"/>
        <w:rPr>
          <w:rFonts w:hint="default" w:ascii="黑体" w:eastAsia="黑体"/>
          <w:sz w:val="32"/>
        </w:rPr>
      </w:pPr>
      <w:r>
        <w:rPr>
          <w:rFonts w:ascii="仿宋_GB2312" w:eastAsia="仿宋_GB2312"/>
          <w:sz w:val="32"/>
        </w:rPr>
        <w:t>（三）科学管理、合理使用学校的设施和经费，并积极筹措办学资金，改善办学条件。</w:t>
      </w:r>
    </w:p>
    <w:p>
      <w:pPr>
        <w:pStyle w:val="6"/>
        <w:spacing w:line="560" w:lineRule="exact"/>
        <w:ind w:firstLine="640"/>
        <w:rPr>
          <w:rFonts w:hint="default" w:ascii="黑体" w:eastAsia="黑体"/>
          <w:sz w:val="32"/>
        </w:rPr>
      </w:pPr>
      <w:r>
        <w:rPr>
          <w:rFonts w:ascii="仿宋_GB2312" w:eastAsia="仿宋_GB2312"/>
          <w:sz w:val="32"/>
        </w:rPr>
        <w:t>（四）依法接受各级教育行政部门的检查指导和人民群众的监督。</w:t>
      </w:r>
    </w:p>
    <w:p>
      <w:pPr>
        <w:pStyle w:val="6"/>
        <w:spacing w:line="560" w:lineRule="exact"/>
        <w:ind w:firstLine="640"/>
        <w:rPr>
          <w:rFonts w:hint="default" w:ascii="黑体" w:eastAsia="黑体"/>
          <w:sz w:val="32"/>
        </w:rPr>
      </w:pPr>
      <w:r>
        <w:rPr>
          <w:rFonts w:ascii="仿宋_GB2312" w:eastAsia="仿宋_GB2312"/>
          <w:sz w:val="32"/>
        </w:rPr>
        <w:t>（五）财务管理方面：</w:t>
      </w:r>
    </w:p>
    <w:p>
      <w:pPr>
        <w:pStyle w:val="6"/>
        <w:spacing w:line="560" w:lineRule="exact"/>
        <w:ind w:firstLine="640"/>
        <w:rPr>
          <w:rFonts w:hint="default" w:ascii="黑体" w:eastAsia="黑体"/>
          <w:sz w:val="32"/>
        </w:rPr>
      </w:pPr>
      <w:r>
        <w:rPr>
          <w:rFonts w:ascii="仿宋_GB2312" w:eastAsia="仿宋_GB2312"/>
          <w:sz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pStyle w:val="6"/>
        <w:spacing w:line="560" w:lineRule="exact"/>
        <w:ind w:firstLine="640"/>
        <w:rPr>
          <w:rFonts w:hint="default" w:ascii="黑体" w:eastAsia="黑体"/>
          <w:sz w:val="32"/>
        </w:rPr>
      </w:pPr>
      <w:r>
        <w:rPr>
          <w:rFonts w:ascii="仿宋_GB2312" w:eastAsia="仿宋_GB2312"/>
          <w:sz w:val="32"/>
        </w:rPr>
        <w:t>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rPr>
          <w:rFonts w:hint="default"/>
          <w:color w:val="000000" w:themeColor="text1"/>
          <w:sz w:val="36"/>
        </w:rPr>
      </w:pPr>
      <w:r>
        <w:rPr>
          <w:rFonts w:ascii="仿宋_GB2312" w:eastAsia="仿宋_GB2312"/>
          <w:bCs/>
          <w:color w:val="000000" w:themeColor="text1"/>
          <w:sz w:val="32"/>
          <w:szCs w:val="32"/>
        </w:rPr>
        <w:t xml:space="preserve">    辽宁省沈阳市第七十三中学纳入浑南区教育局2022年决算编制范围，本单位无下设机构。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 辽宁省沈阳市第七十三中学2022年决算情况说明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（一）收入总计1784.38万元，包括：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1.财政拨款收入1747.21万元，占收入总计的97.92%。其中：一般公共预算财政拨款收入1747.21万元，政府性基金收入0万元，国有资本经营预算财政拨款收入0万元。</w:t>
      </w:r>
    </w:p>
    <w:p>
      <w:pPr>
        <w:pStyle w:val="6"/>
        <w:spacing w:line="560" w:lineRule="exact"/>
        <w:ind w:firstLine="660"/>
        <w:rPr>
          <w:rFonts w:hint="default" w:ascii="仿宋_GB2312" w:eastAsia="仿宋_GB2312"/>
          <w:sz w:val="32"/>
        </w:rPr>
      </w:pPr>
      <w:r>
        <w:rPr>
          <w:rFonts w:ascii="仿宋_GB2312" w:eastAsia="仿宋_GB2312"/>
          <w:sz w:val="32"/>
        </w:rPr>
        <w:t>2.其他收入6.72万元，占收入总计的0.38%。主要是</w:t>
      </w:r>
      <w:r>
        <w:rPr>
          <w:rFonts w:ascii="仿宋_GB2312" w:eastAsia="仿宋_GB2312"/>
          <w:sz w:val="32"/>
          <w:szCs w:val="32"/>
        </w:rPr>
        <w:t>幼儿园保育教育费收入</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3.上年结转和结余30.46万元，占收入总计的1.7%。主要是项目支出结转。</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与上年相比，今年收入减少463.2万元，降低20.61%，主要原因：</w:t>
      </w:r>
      <w:r>
        <w:rPr>
          <w:rFonts w:ascii="黑体" w:eastAsia="黑体"/>
          <w:sz w:val="32"/>
        </w:rPr>
        <w:t>一是</w:t>
      </w:r>
      <w:r>
        <w:rPr>
          <w:rFonts w:ascii="仿宋_GB2312" w:eastAsia="仿宋_GB2312"/>
          <w:sz w:val="32"/>
        </w:rPr>
        <w:t>工资保险等人员经费减少；</w:t>
      </w:r>
      <w:r>
        <w:rPr>
          <w:rFonts w:ascii="黑体" w:eastAsia="黑体"/>
          <w:sz w:val="32"/>
        </w:rPr>
        <w:t>二是</w:t>
      </w:r>
      <w:r>
        <w:rPr>
          <w:rFonts w:ascii="仿宋_GB2312" w:eastAsia="仿宋_GB2312"/>
          <w:sz w:val="32"/>
        </w:rPr>
        <w:t>项目经费减少。</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（二）支出总计1758.42万元，包括：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1.基本支出1632.37万元，占支出总计的92.83%。主要是为保障机构正常运转、完成日常工作任务而发生的各项支出，其中：工资福利支出1545.13万元，对个人和家庭的补助支出35.22万元，商品和服务支出52.02万元。</w:t>
      </w:r>
    </w:p>
    <w:p>
      <w:pPr>
        <w:pStyle w:val="6"/>
        <w:spacing w:line="560" w:lineRule="exact"/>
        <w:ind w:firstLine="660"/>
        <w:rPr>
          <w:rFonts w:hint="default" w:ascii="仿宋_GB2312" w:eastAsia="仿宋_GB2312"/>
          <w:sz w:val="32"/>
        </w:rPr>
      </w:pPr>
      <w:r>
        <w:rPr>
          <w:rFonts w:ascii="仿宋_GB2312" w:eastAsia="仿宋_GB2312"/>
          <w:sz w:val="32"/>
        </w:rPr>
        <w:t>2.项目支出126.05万元，占支出总计的7.12%。主要包括初中教育支出75.49万元，学前教育支出17.44万元，其他普通教育支出6.0万元，特殊学校教育支出16.97万元，其他教育附加10.15万元。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与上年相比，今年支出减少463.91万元，降低20.87%，主要原因：</w:t>
      </w:r>
      <w:r>
        <w:rPr>
          <w:rFonts w:ascii="黑体" w:eastAsia="黑体"/>
          <w:sz w:val="32"/>
        </w:rPr>
        <w:t>一是</w:t>
      </w:r>
      <w:r>
        <w:rPr>
          <w:rFonts w:ascii="仿宋_GB2312" w:eastAsia="仿宋_GB2312"/>
          <w:sz w:val="32"/>
        </w:rPr>
        <w:t>人员经费减少；</w:t>
      </w:r>
      <w:r>
        <w:rPr>
          <w:rFonts w:ascii="黑体" w:eastAsia="黑体"/>
          <w:sz w:val="32"/>
        </w:rPr>
        <w:t>二是</w:t>
      </w:r>
      <w:r>
        <w:rPr>
          <w:rFonts w:ascii="仿宋_GB2312" w:eastAsia="仿宋_GB2312"/>
          <w:sz w:val="32"/>
        </w:rPr>
        <w:t>项目经费减少。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（三）年末结转和结余25.97万元</w:t>
      </w:r>
    </w:p>
    <w:p>
      <w:pPr>
        <w:pStyle w:val="6"/>
        <w:spacing w:line="560" w:lineRule="exact"/>
        <w:ind w:firstLine="660"/>
        <w:rPr>
          <w:rFonts w:hint="default" w:ascii="仿宋_GB2312" w:eastAsia="仿宋_GB2312"/>
          <w:sz w:val="32"/>
        </w:rPr>
      </w:pPr>
      <w:r>
        <w:rPr>
          <w:rFonts w:ascii="仿宋_GB2312" w:eastAsia="仿宋_GB2312"/>
          <w:sz w:val="32"/>
        </w:rPr>
        <w:t>主要是质保金等原因形成的结余。与上年相比，今年结转结余增加0.72万元，增长2.77%，主要原因质保金增加。</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2022年度财政拨款支出1758.42万元，其中：基本支出1632.37万元，项目支出126.05万元。与上年相比，财政拨款支出减少463.91万元，降低20.87%，主要原因：</w:t>
      </w:r>
      <w:r>
        <w:rPr>
          <w:rFonts w:ascii="黑体" w:eastAsia="黑体"/>
          <w:sz w:val="32"/>
        </w:rPr>
        <w:t>一是</w:t>
      </w:r>
      <w:r>
        <w:rPr>
          <w:rFonts w:ascii="仿宋_GB2312" w:eastAsia="仿宋_GB2312"/>
          <w:sz w:val="32"/>
        </w:rPr>
        <w:t>人员经费减少；</w:t>
      </w:r>
      <w:r>
        <w:rPr>
          <w:rFonts w:ascii="黑体" w:eastAsia="黑体"/>
          <w:sz w:val="32"/>
        </w:rPr>
        <w:t>二是</w:t>
      </w:r>
      <w:r>
        <w:rPr>
          <w:rFonts w:ascii="仿宋_GB2312" w:eastAsia="仿宋_GB2312"/>
          <w:sz w:val="32"/>
        </w:rPr>
        <w:t>项目经费减少。与年初预算相比，2022年度财政拨款支出完成年初预算的120.87%，其中：基本支出完成年初预算的111.9%，项目支出未安排年初预算。</w:t>
      </w:r>
    </w:p>
    <w:p>
      <w:pPr>
        <w:spacing w:line="560" w:lineRule="exact"/>
        <w:ind w:firstLine="660"/>
        <w:rPr>
          <w:rFonts w:hint="default" w:ascii="黑体" w:hAnsi="黑体" w:eastAsia="黑体" w:cs="黑体"/>
          <w:b/>
          <w:color w:val="FF0000"/>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2022年度一般公共预算财政拨款支出1747.21万元，按支出功能分类科目分，包括：教育支出1465.13万元，占83.86%；社会保障和就业支出205.62万元，占11.77%，卫生健康支出76.46万元，占4.37%。</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1.教育支出1465.13万元，具体包括：教育支出1465.13万元，主要是工资福利、商品和服务支出、个人和家庭的补助等支出。</w:t>
      </w:r>
      <w:r>
        <w:rPr>
          <w:rFonts w:ascii="仿宋_GB2312" w:eastAsia="仿宋_GB2312"/>
          <w:color w:val="auto"/>
          <w:sz w:val="32"/>
          <w:szCs w:val="32"/>
        </w:rPr>
        <w:t>完成年初预算的125.99%，决算数大于年初预算数的原因是人员工资上调</w:t>
      </w:r>
      <w:r>
        <w:rPr>
          <w:rFonts w:ascii="仿宋_GB2312" w:hAnsi="宋体" w:eastAsia="仿宋_GB2312"/>
          <w:color w:val="auto"/>
          <w:sz w:val="32"/>
          <w:szCs w:val="32"/>
        </w:rPr>
        <w:t>。</w:t>
      </w:r>
    </w:p>
    <w:p>
      <w:pPr>
        <w:spacing w:line="560" w:lineRule="exact"/>
        <w:ind w:firstLine="660"/>
        <w:rPr>
          <w:rFonts w:hint="default" w:ascii="仿宋_GB2312" w:eastAsia="仿宋_GB2312"/>
          <w:color w:val="FF0000"/>
          <w:sz w:val="32"/>
          <w:szCs w:val="32"/>
        </w:rPr>
      </w:pPr>
      <w:r>
        <w:rPr>
          <w:rFonts w:ascii="仿宋_GB2312" w:hAnsi="宋体" w:eastAsia="仿宋_GB2312"/>
          <w:sz w:val="32"/>
          <w:szCs w:val="32"/>
        </w:rPr>
        <w:t>2.社会保障和就业支出205.62万元，具体包括：社会保障和就业支出205.62万元，主要是商品和服务支出、个人和家庭的补助、工资福利等支出。</w:t>
      </w:r>
      <w:r>
        <w:rPr>
          <w:rFonts w:ascii="仿宋_GB2312" w:eastAsia="仿宋_GB2312"/>
          <w:color w:val="auto"/>
          <w:sz w:val="32"/>
          <w:szCs w:val="32"/>
        </w:rPr>
        <w:t>完成年初预算的95.99%，决算数小于年初预算数的原因是有人员退休</w:t>
      </w:r>
      <w:r>
        <w:rPr>
          <w:rFonts w:ascii="仿宋_GB2312" w:eastAsia="仿宋_GB2312"/>
          <w:color w:val="000000" w:themeColor="text1"/>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 卫生健康支出76.46万元，具体包括：</w:t>
      </w:r>
    </w:p>
    <w:p>
      <w:pPr>
        <w:spacing w:line="560" w:lineRule="exact"/>
        <w:ind w:firstLine="660"/>
        <w:rPr>
          <w:rFonts w:hint="default" w:ascii="仿宋_GB2312" w:hAnsi="宋体" w:eastAsia="仿宋_GB2312"/>
          <w:color w:val="FF0000"/>
          <w:sz w:val="32"/>
          <w:szCs w:val="32"/>
        </w:rPr>
      </w:pPr>
      <w:r>
        <w:rPr>
          <w:rFonts w:ascii="仿宋_GB2312" w:hAnsi="宋体" w:eastAsia="仿宋_GB2312"/>
          <w:sz w:val="32"/>
          <w:szCs w:val="32"/>
        </w:rPr>
        <w:t>（1）其他行政事业单位医疗支出6.9万元，其中工资福利支出6.9万元。</w:t>
      </w:r>
      <w:r>
        <w:rPr>
          <w:rFonts w:ascii="仿宋_GB2312" w:eastAsia="仿宋_GB2312"/>
          <w:color w:val="auto"/>
          <w:sz w:val="32"/>
          <w:szCs w:val="32"/>
        </w:rPr>
        <w:t>完成年初预算的98.57%，决算数小于年初预算数的原因是有人员退休。</w:t>
      </w:r>
    </w:p>
    <w:p>
      <w:pPr>
        <w:spacing w:line="560" w:lineRule="exact"/>
        <w:ind w:firstLine="660"/>
        <w:rPr>
          <w:rFonts w:hint="default" w:ascii="仿宋_GB2312" w:hAnsi="宋体" w:eastAsia="仿宋_GB2312"/>
          <w:color w:val="auto"/>
          <w:sz w:val="32"/>
          <w:szCs w:val="32"/>
        </w:rPr>
      </w:pPr>
      <w:r>
        <w:rPr>
          <w:rFonts w:ascii="仿宋_GB2312" w:hAnsi="宋体" w:eastAsia="仿宋_GB2312"/>
          <w:sz w:val="32"/>
          <w:szCs w:val="32"/>
        </w:rPr>
        <w:t>（2）事业单位医疗69.56万元，其中工资福利支出69.56万元。</w:t>
      </w:r>
      <w:r>
        <w:rPr>
          <w:rFonts w:ascii="仿宋_GB2312" w:eastAsia="仿宋_GB2312"/>
          <w:color w:val="auto"/>
          <w:sz w:val="32"/>
          <w:szCs w:val="32"/>
        </w:rPr>
        <w:t>完成年初预算的98.35%，决算数小于年初预算数的原因是有人员退休。</w:t>
      </w:r>
    </w:p>
    <w:p>
      <w:p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szCs w:val="32"/>
        </w:rPr>
        <w:t>（四）国有资本经营预算财政拨款支出情况。</w:t>
      </w:r>
    </w:p>
    <w:p>
      <w:pPr>
        <w:pStyle w:val="6"/>
        <w:spacing w:line="560" w:lineRule="exact"/>
        <w:ind w:firstLine="660"/>
        <w:rPr>
          <w:rFonts w:hint="default" w:ascii="仿宋_GB2312" w:eastAsia="仿宋_GB2312"/>
          <w:sz w:val="32"/>
          <w:szCs w:val="32"/>
        </w:rPr>
      </w:pPr>
      <w:r>
        <w:rPr>
          <w:rFonts w:ascii="仿宋_GB2312" w:eastAsia="仿宋_GB2312"/>
          <w:sz w:val="32"/>
          <w:szCs w:val="32"/>
        </w:rPr>
        <w:t>本年未发生此项资金</w:t>
      </w:r>
    </w:p>
    <w:p>
      <w:pPr>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2022年度一般公共预算财政拨款安排的“三公”经费支出0万元，未安排年初预算，决算数等于年初预算数的主要原因是无此任务。其中：因公出国（境）费0万元，公务接待费0万元，公务用车购置及运行维护费0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1.因公出国（境）费0万元，未安排年初预算，决算数等于年初预算数的主要原因是无此任务。2022年参加出国（境）团组0个，累计0人次</w:t>
      </w:r>
      <w:r>
        <w:rPr>
          <w:rFonts w:ascii="仿宋_GB2312" w:hAnsi="Times New Roman" w:eastAsia="仿宋_GB2312" w:cs="Times New Roman"/>
          <w:kern w:val="0"/>
          <w:sz w:val="32"/>
          <w:szCs w:val="32"/>
        </w:rPr>
        <w:t>。</w:t>
      </w:r>
      <w:r>
        <w:rPr>
          <w:rFonts w:ascii="仿宋_GB2312" w:eastAsia="仿宋_GB2312"/>
          <w:sz w:val="32"/>
        </w:rPr>
        <w:t>2022年因公出国（境）费比上年减少0万元，下降0%，主要是无出国任务。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2.公务接待费0万元，未安排年初预算，决算数等于年初预算数的主要原因是无此任务。2022年国内公务接待累计0批次、0人、0万元。2022年公务接待费比上年减少0万元，下降0%，主要是无公务招待。</w:t>
      </w:r>
    </w:p>
    <w:p>
      <w:pPr>
        <w:pStyle w:val="6"/>
        <w:spacing w:line="560" w:lineRule="exact"/>
        <w:ind w:firstLine="640" w:firstLineChars="200"/>
        <w:rPr>
          <w:rFonts w:hint="default" w:ascii="仿宋_GB2312" w:eastAsia="仿宋_GB2312"/>
          <w:sz w:val="32"/>
        </w:rPr>
      </w:pPr>
      <w:r>
        <w:rPr>
          <w:rFonts w:ascii="仿宋_GB2312" w:eastAsia="仿宋_GB2312"/>
          <w:sz w:val="32"/>
        </w:rPr>
        <w:t>3.公务用车购置及运行费0万元，未安排年初预算，决算数等于年初预算数的主要原因是无此任务。2022年公务用车购置及运行费比上年减少0万元，下降0%，主要是无公务用车购置。</w:t>
      </w:r>
    </w:p>
    <w:p>
      <w:pPr>
        <w:spacing w:line="540" w:lineRule="exact"/>
        <w:ind w:firstLine="645"/>
        <w:rPr>
          <w:rFonts w:hint="default" w:ascii="仿宋_GB2312" w:eastAsia="仿宋_GB2312"/>
          <w:sz w:val="32"/>
        </w:rPr>
      </w:pPr>
      <w:r>
        <w:rPr>
          <w:rFonts w:ascii="仿宋_GB2312" w:hAnsi="宋体" w:eastAsia="仿宋_GB2312"/>
          <w:sz w:val="32"/>
          <w:szCs w:val="32"/>
        </w:rPr>
        <w:t>其中：公务用车购置费0万元，当年购置公务用车0辆。</w:t>
      </w:r>
      <w:r>
        <w:rPr>
          <w:rFonts w:ascii="仿宋_GB2312" w:eastAsia="仿宋_GB2312"/>
          <w:sz w:val="32"/>
        </w:rPr>
        <w:t>未安排年初预算，决算数等于年初预算数的主要原因是无此任务。</w:t>
      </w:r>
    </w:p>
    <w:p>
      <w:pPr>
        <w:pStyle w:val="6"/>
        <w:autoSpaceDN w:val="0"/>
        <w:spacing w:line="560" w:lineRule="exact"/>
        <w:ind w:firstLine="640"/>
        <w:rPr>
          <w:rFonts w:hint="default" w:ascii="仿宋_GB2312" w:eastAsia="仿宋_GB2312"/>
          <w:sz w:val="32"/>
        </w:rPr>
      </w:pPr>
      <w:r>
        <w:rPr>
          <w:rFonts w:ascii="仿宋_GB2312" w:eastAsia="仿宋_GB2312"/>
          <w:sz w:val="32"/>
          <w:szCs w:val="32"/>
        </w:rPr>
        <w:t>公务用车运行维护费0万元，截至年末使用一般公共预算财政拨款开支运行维护费的公务用车保有量0辆。</w:t>
      </w:r>
      <w:r>
        <w:rPr>
          <w:rFonts w:ascii="仿宋_GB2312" w:eastAsia="仿宋_GB2312"/>
          <w:sz w:val="32"/>
        </w:rPr>
        <w:t>未安排年初预算，决算数等于年初预算数的主要原因是无此任务。</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1632.37万元，其中：人员经费1580.34万元，主要包括基本工资、津贴补贴、奖金、其他社会保障缴费、机关事业单位基本养老保险缴费、其他工资福利支出、离休费、退休费、抚恤金、生活补助、奖励金、住房公积金、采暖补贴、其他对个人和家庭补助的支出；日常公用经费52.03万元，主要包括办公费、印刷费、手续费、水费、电费、邮电费、取暖费、物业费、差旅费、维修（护）费、租赁费、会议费、培训费、劳务费、委托业务费、工会经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ascii="仿宋_GB2312" w:eastAsia="仿宋_GB2312"/>
          <w:sz w:val="32"/>
        </w:rPr>
        <w:t>2022年度机关运行经费支出0万元，</w:t>
      </w:r>
      <w:r>
        <w:rPr>
          <w:rFonts w:ascii="仿宋_GB2312" w:hAnsi="黑体" w:eastAsia="仿宋_GB2312"/>
          <w:sz w:val="32"/>
          <w:szCs w:val="32"/>
        </w:rPr>
        <w:t>与上年持平，主要原因是我单位属于事业单位，无机关运行经费。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仿宋_GB2312" w:eastAsia="仿宋_GB2312"/>
          <w:sz w:val="32"/>
        </w:rPr>
      </w:pP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2022年12月31日，共有车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widowControl/>
        <w:spacing w:line="560" w:lineRule="exact"/>
        <w:ind w:firstLine="640" w:firstLineChars="200"/>
        <w:rPr>
          <w:rFonts w:hint="default"/>
          <w:b/>
          <w:sz w:val="36"/>
        </w:rPr>
      </w:pPr>
      <w:r>
        <w:rPr>
          <w:rFonts w:ascii="仿宋_GB2312" w:hAnsi="黑体" w:eastAsia="仿宋_GB2312" w:cs="Times New Roman"/>
          <w:sz w:val="32"/>
          <w:szCs w:val="32"/>
        </w:rPr>
        <w:t>2022年不涉及特定目标类民生项目和重点支出项目</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辽宁省沈阳市第七十三中学2022年度决算表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1"/>
        </w:numPr>
        <w:jc w:val="center"/>
        <w:rPr>
          <w:rFonts w:hint="default" w:ascii="宋体" w:hAnsi="宋体"/>
          <w:b/>
          <w:sz w:val="52"/>
          <w:szCs w:val="52"/>
        </w:rPr>
      </w:pPr>
      <w:r>
        <w:rPr>
          <w:rFonts w:ascii="宋体" w:hAnsi="宋体"/>
          <w:b/>
          <w:sz w:val="52"/>
          <w:szCs w:val="52"/>
        </w:rPr>
        <w:t>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wNTI5OTU5YTU2NGY4YzQwYWJiNTY3YmJiNmQ5OTEifQ=="/>
  </w:docVars>
  <w:rsids>
    <w:rsidRoot w:val="1C635C29"/>
    <w:rsid w:val="00040A5F"/>
    <w:rsid w:val="00042CF4"/>
    <w:rsid w:val="00060165"/>
    <w:rsid w:val="000B596F"/>
    <w:rsid w:val="000D364A"/>
    <w:rsid w:val="000F43B2"/>
    <w:rsid w:val="000F77C2"/>
    <w:rsid w:val="00100607"/>
    <w:rsid w:val="00135E5F"/>
    <w:rsid w:val="00136D97"/>
    <w:rsid w:val="00174B92"/>
    <w:rsid w:val="001C1262"/>
    <w:rsid w:val="001D03FE"/>
    <w:rsid w:val="001D0B4A"/>
    <w:rsid w:val="002357C0"/>
    <w:rsid w:val="00320394"/>
    <w:rsid w:val="00342E31"/>
    <w:rsid w:val="00367718"/>
    <w:rsid w:val="0038444A"/>
    <w:rsid w:val="00387684"/>
    <w:rsid w:val="003A56CC"/>
    <w:rsid w:val="003B6071"/>
    <w:rsid w:val="003C190C"/>
    <w:rsid w:val="0044142C"/>
    <w:rsid w:val="00485722"/>
    <w:rsid w:val="004875C2"/>
    <w:rsid w:val="00494043"/>
    <w:rsid w:val="00505889"/>
    <w:rsid w:val="00567E42"/>
    <w:rsid w:val="00576A08"/>
    <w:rsid w:val="005812D3"/>
    <w:rsid w:val="005814A4"/>
    <w:rsid w:val="00590A8D"/>
    <w:rsid w:val="005C4DCE"/>
    <w:rsid w:val="00625126"/>
    <w:rsid w:val="006C0C3C"/>
    <w:rsid w:val="006D4162"/>
    <w:rsid w:val="00750265"/>
    <w:rsid w:val="00753B9D"/>
    <w:rsid w:val="00756329"/>
    <w:rsid w:val="007A21C9"/>
    <w:rsid w:val="007F77B9"/>
    <w:rsid w:val="008040A1"/>
    <w:rsid w:val="00842D45"/>
    <w:rsid w:val="00873151"/>
    <w:rsid w:val="00903336"/>
    <w:rsid w:val="00954778"/>
    <w:rsid w:val="0098145E"/>
    <w:rsid w:val="00990D44"/>
    <w:rsid w:val="009C4BA7"/>
    <w:rsid w:val="00A10406"/>
    <w:rsid w:val="00A17144"/>
    <w:rsid w:val="00A5357A"/>
    <w:rsid w:val="00A57A14"/>
    <w:rsid w:val="00AD3E4E"/>
    <w:rsid w:val="00B54181"/>
    <w:rsid w:val="00B87B75"/>
    <w:rsid w:val="00BC09C4"/>
    <w:rsid w:val="00BF43E8"/>
    <w:rsid w:val="00BF51F0"/>
    <w:rsid w:val="00C11B45"/>
    <w:rsid w:val="00CD7AD6"/>
    <w:rsid w:val="00DB10CA"/>
    <w:rsid w:val="00DC3915"/>
    <w:rsid w:val="00DC7B7A"/>
    <w:rsid w:val="00E0435F"/>
    <w:rsid w:val="00E26A7A"/>
    <w:rsid w:val="00E32219"/>
    <w:rsid w:val="00E4305D"/>
    <w:rsid w:val="00E57B11"/>
    <w:rsid w:val="00ED1D44"/>
    <w:rsid w:val="00EF5208"/>
    <w:rsid w:val="00F16B2B"/>
    <w:rsid w:val="00F36FF4"/>
    <w:rsid w:val="00F53BA9"/>
    <w:rsid w:val="00F67249"/>
    <w:rsid w:val="00F724E9"/>
    <w:rsid w:val="00FF60BA"/>
    <w:rsid w:val="01622E76"/>
    <w:rsid w:val="04217078"/>
    <w:rsid w:val="082C6248"/>
    <w:rsid w:val="09C4782E"/>
    <w:rsid w:val="0ECB7368"/>
    <w:rsid w:val="0FD91C07"/>
    <w:rsid w:val="11612EA5"/>
    <w:rsid w:val="12CC5588"/>
    <w:rsid w:val="131E2240"/>
    <w:rsid w:val="1B9703C5"/>
    <w:rsid w:val="1C635C29"/>
    <w:rsid w:val="1C6537BA"/>
    <w:rsid w:val="204A6DD3"/>
    <w:rsid w:val="286C4199"/>
    <w:rsid w:val="28977847"/>
    <w:rsid w:val="2A3D2189"/>
    <w:rsid w:val="2E4F6256"/>
    <w:rsid w:val="36230505"/>
    <w:rsid w:val="3BA207ED"/>
    <w:rsid w:val="43ED4466"/>
    <w:rsid w:val="46CA2860"/>
    <w:rsid w:val="474C6DD1"/>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中国微软</Company>
  <Pages>13</Pages>
  <Words>4306</Words>
  <Characters>4686</Characters>
  <Lines>34</Lines>
  <Paragraphs>9</Paragraphs>
  <TotalTime>30</TotalTime>
  <ScaleCrop>false</ScaleCrop>
  <LinksUpToDate>false</LinksUpToDate>
  <CharactersWithSpaces>4721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2023-09-13T00:15:59Z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