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bookmarkStart w:id="0" w:name="_GoBack"/>
      <w:bookmarkEnd w:id="0"/>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color w:val="FF0000"/>
          <w:sz w:val="52"/>
          <w:szCs w:val="52"/>
          <w:lang w:eastAsia="zh-CN"/>
        </w:rPr>
      </w:pPr>
      <w:r>
        <w:rPr>
          <w:rFonts w:ascii="宋体" w:hAnsi="宋体"/>
          <w:b/>
          <w:sz w:val="52"/>
          <w:szCs w:val="52"/>
        </w:rPr>
        <w:t>沈阳市浑南区高坎中心小学2022决算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部门概况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2022年度决算情况说明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黑体" w:hAnsi="黑体" w:eastAsia="黑体"/>
          <w:sz w:val="32"/>
          <w:szCs w:val="32"/>
        </w:rPr>
      </w:pPr>
      <w:r>
        <w:rPr>
          <w:rFonts w:ascii="黑体" w:hAnsi="黑体" w:eastAsia="黑体"/>
          <w:sz w:val="32"/>
          <w:szCs w:val="32"/>
        </w:rPr>
        <w:t>第四部分    2022年度决算报表</w:t>
      </w:r>
    </w:p>
    <w:p>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hint="default" w:ascii="仿宋_GB2312" w:eastAsia="仿宋_GB2312"/>
          <w:sz w:val="32"/>
          <w:szCs w:val="32"/>
        </w:rPr>
      </w:pPr>
      <w:r>
        <w:rPr>
          <w:rFonts w:ascii="仿宋_GB2312" w:eastAsia="仿宋_GB2312"/>
          <w:sz w:val="32"/>
          <w:szCs w:val="32"/>
        </w:rPr>
        <w:t>二、收入决算表</w:t>
      </w:r>
    </w:p>
    <w:p>
      <w:pPr>
        <w:spacing w:line="540" w:lineRule="exact"/>
        <w:rPr>
          <w:rFonts w:hint="default" w:ascii="仿宋_GB2312" w:eastAsia="仿宋_GB2312"/>
          <w:sz w:val="32"/>
          <w:szCs w:val="32"/>
        </w:rPr>
      </w:pPr>
      <w:r>
        <w:rPr>
          <w:rFonts w:ascii="仿宋_GB2312" w:eastAsia="仿宋_GB2312"/>
          <w:sz w:val="32"/>
          <w:szCs w:val="32"/>
        </w:rPr>
        <w:t>三、支出决算表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pPr>
        <w:spacing w:line="540" w:lineRule="exact"/>
        <w:rPr>
          <w:rFonts w:hint="default" w:ascii="黑体" w:hAnsi="黑体" w:eastAsia="黑体"/>
          <w:b/>
          <w:sz w:val="44"/>
          <w:szCs w:val="44"/>
          <w:u w:val="single"/>
        </w:rPr>
      </w:pPr>
      <w:r>
        <w:rPr>
          <w:rFonts w:ascii="黑体" w:hAnsi="黑体" w:eastAsia="黑体"/>
          <w:sz w:val="32"/>
          <w:szCs w:val="32"/>
        </w:rPr>
        <w:t>第五部分    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第一部分 沈阳市浑南区高坎中心小学概况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default" w:ascii="仿宋_GB2312" w:eastAsia="仿宋_GB2312"/>
          <w:sz w:val="32"/>
        </w:rPr>
      </w:pPr>
      <w:r>
        <w:rPr>
          <w:rFonts w:ascii="仿宋_GB2312" w:eastAsia="仿宋_GB2312"/>
          <w:sz w:val="32"/>
        </w:rPr>
        <w:t>（一）组织教育教学，科学研究活动，保证教育教学质量。维护职工利益，保障教职工合法权益，以教职工和学生的人生幸福和生命质量作为重点。</w:t>
      </w:r>
    </w:p>
    <w:p>
      <w:pPr>
        <w:pStyle w:val="6"/>
        <w:spacing w:line="560" w:lineRule="exact"/>
        <w:ind w:firstLine="640"/>
        <w:rPr>
          <w:rFonts w:hint="default" w:ascii="仿宋_GB2312" w:eastAsia="仿宋_GB2312"/>
          <w:sz w:val="32"/>
        </w:rPr>
      </w:pPr>
      <w:r>
        <w:rPr>
          <w:rFonts w:ascii="仿宋_GB2312" w:eastAsia="仿宋_GB2312"/>
          <w:sz w:val="32"/>
        </w:rPr>
        <w:t>（二）制定学校发展规划，并抓好组织实施和落实情况。</w:t>
      </w:r>
    </w:p>
    <w:p>
      <w:pPr>
        <w:pStyle w:val="6"/>
        <w:spacing w:line="560" w:lineRule="exact"/>
        <w:ind w:firstLine="640"/>
        <w:rPr>
          <w:rFonts w:hint="default" w:ascii="仿宋_GB2312" w:eastAsia="仿宋_GB2312"/>
          <w:sz w:val="32"/>
        </w:rPr>
      </w:pPr>
      <w:r>
        <w:rPr>
          <w:rFonts w:ascii="仿宋_GB2312" w:eastAsia="仿宋_GB2312"/>
          <w:sz w:val="32"/>
        </w:rPr>
        <w:t>（三）科学管理、合理使用学校的设施和经费，并积极筹措办学资金，改善办学条件。</w:t>
      </w:r>
    </w:p>
    <w:p>
      <w:pPr>
        <w:pStyle w:val="6"/>
        <w:spacing w:line="560" w:lineRule="exact"/>
        <w:ind w:firstLine="640"/>
        <w:rPr>
          <w:rFonts w:hint="default" w:ascii="仿宋_GB2312" w:eastAsia="仿宋_GB2312"/>
          <w:sz w:val="32"/>
        </w:rPr>
      </w:pPr>
      <w:r>
        <w:rPr>
          <w:rFonts w:ascii="仿宋_GB2312" w:eastAsia="仿宋_GB2312"/>
          <w:sz w:val="32"/>
        </w:rPr>
        <w:t>（四）依法接受各级教育行政部门的检查指导和人民群众的监督。</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eastAsia="仿宋_GB2312"/>
          <w:sz w:val="32"/>
        </w:rPr>
      </w:pPr>
      <w:r>
        <w:rPr>
          <w:rFonts w:ascii="仿宋_GB2312" w:hAnsi="仿宋_GB2312" w:eastAsia="仿宋_GB2312" w:cs="仿宋_GB2312"/>
          <w:b w:val="0"/>
          <w:bCs/>
          <w:sz w:val="32"/>
          <w:szCs w:val="32"/>
        </w:rPr>
        <w:t>纳入本单位2022年决算编制范围是纳入浑南区教育局的沈阳市浑南区高坎中心小学二级预算单位，本单位无下设机构。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第二部分 沈阳市浑南区高坎中心小学2022年决算情况说明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default" w:ascii="楷体_GB2312" w:eastAsia="楷体_GB2312"/>
          <w:b/>
          <w:sz w:val="32"/>
        </w:rPr>
        <w:t>1517.76</w:t>
      </w:r>
      <w:r>
        <w:rPr>
          <w:rFonts w:ascii="楷体_GB2312" w:eastAsia="楷体_GB2312"/>
          <w:b/>
          <w:sz w:val="32"/>
        </w:rPr>
        <w:t>万元，包括：</w:t>
      </w:r>
      <w:r>
        <w:rPr>
          <w:rFonts w:hint="default" w:ascii="楷体_GB2312" w:eastAsia="楷体_GB2312"/>
          <w:b/>
          <w:sz w:val="32"/>
        </w:rPr>
        <w:t xml:space="preserve"> </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default" w:ascii="仿宋_GB2312" w:eastAsia="仿宋_GB2312"/>
          <w:sz w:val="32"/>
        </w:rPr>
        <w:t>1494.34</w:t>
      </w:r>
      <w:r>
        <w:rPr>
          <w:rFonts w:ascii="仿宋_GB2312" w:eastAsia="仿宋_GB2312"/>
          <w:sz w:val="32"/>
        </w:rPr>
        <w:t>万元，占收入总计的</w:t>
      </w:r>
      <w:r>
        <w:rPr>
          <w:rFonts w:hint="default" w:ascii="仿宋_GB2312" w:eastAsia="仿宋_GB2312"/>
          <w:sz w:val="32"/>
        </w:rPr>
        <w:t>98.45</w:t>
      </w:r>
      <w:r>
        <w:rPr>
          <w:rFonts w:ascii="仿宋_GB2312" w:eastAsia="仿宋_GB2312"/>
          <w:sz w:val="32"/>
        </w:rPr>
        <w:t>%。其中：一般公共预算财政拨款收入</w:t>
      </w:r>
      <w:r>
        <w:rPr>
          <w:rFonts w:hint="default" w:ascii="仿宋_GB2312" w:eastAsia="仿宋_GB2312"/>
          <w:sz w:val="32"/>
        </w:rPr>
        <w:t>1494.34</w:t>
      </w:r>
      <w:r>
        <w:rPr>
          <w:rFonts w:ascii="仿宋_GB2312" w:eastAsia="仿宋_GB2312"/>
          <w:sz w:val="32"/>
        </w:rPr>
        <w:t>万元，政府性基金收入</w:t>
      </w:r>
      <w:r>
        <w:rPr>
          <w:rFonts w:hint="default" w:ascii="仿宋_GB2312" w:eastAsia="仿宋_GB2312"/>
          <w:sz w:val="32"/>
        </w:rPr>
        <w:t>0</w:t>
      </w:r>
      <w:r>
        <w:rPr>
          <w:rFonts w:ascii="仿宋_GB2312" w:eastAsia="仿宋_GB2312"/>
          <w:sz w:val="32"/>
        </w:rPr>
        <w:t>万元，国有资本经营预算财政拨款收入</w:t>
      </w:r>
      <w:r>
        <w:rPr>
          <w:rFonts w:hint="default" w:ascii="仿宋_GB2312" w:eastAsia="仿宋_GB2312"/>
          <w:sz w:val="32"/>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default" w:ascii="仿宋_GB2312" w:eastAsia="仿宋_GB2312"/>
          <w:sz w:val="32"/>
        </w:rPr>
        <w:t>16.75</w:t>
      </w:r>
      <w:r>
        <w:rPr>
          <w:rFonts w:ascii="仿宋_GB2312" w:eastAsia="仿宋_GB2312"/>
          <w:sz w:val="32"/>
        </w:rPr>
        <w:t>万元，占收入总计的</w:t>
      </w:r>
      <w:r>
        <w:rPr>
          <w:rFonts w:hint="default" w:ascii="仿宋_GB2312" w:eastAsia="仿宋_GB2312"/>
          <w:sz w:val="32"/>
        </w:rPr>
        <w:t>1.11</w:t>
      </w:r>
      <w:r>
        <w:rPr>
          <w:rFonts w:ascii="仿宋_GB2312" w:eastAsia="仿宋_GB2312"/>
          <w:sz w:val="32"/>
        </w:rPr>
        <w:t>%。其中沈阳市浑南区教育局转智慧+课程费，沈阳市浑南区教育局转60年代精简退资金。</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default" w:ascii="仿宋_GB2312" w:eastAsia="仿宋_GB2312"/>
          <w:sz w:val="32"/>
        </w:rPr>
        <w:t>6.67</w:t>
      </w:r>
      <w:r>
        <w:rPr>
          <w:rFonts w:ascii="仿宋_GB2312" w:eastAsia="仿宋_GB2312"/>
          <w:sz w:val="32"/>
        </w:rPr>
        <w:t>万元，占收入总计的</w:t>
      </w:r>
      <w:r>
        <w:rPr>
          <w:rFonts w:hint="default" w:ascii="仿宋_GB2312" w:eastAsia="仿宋_GB2312"/>
          <w:sz w:val="32"/>
        </w:rPr>
        <w:t>0.44</w:t>
      </w:r>
      <w:r>
        <w:rPr>
          <w:rFonts w:ascii="仿宋_GB2312" w:eastAsia="仿宋_GB2312"/>
          <w:sz w:val="32"/>
        </w:rPr>
        <w:t>%。主要是上年经费等。</w:t>
      </w:r>
    </w:p>
    <w:p>
      <w:pPr>
        <w:pStyle w:val="6"/>
        <w:spacing w:line="560" w:lineRule="exact"/>
        <w:ind w:firstLine="660"/>
        <w:rPr>
          <w:rFonts w:hint="default" w:ascii="仿宋_GB2312" w:eastAsia="仿宋_GB2312"/>
          <w:sz w:val="32"/>
        </w:rPr>
      </w:pPr>
      <w:r>
        <w:rPr>
          <w:rFonts w:ascii="仿宋_GB2312" w:eastAsia="仿宋_GB2312"/>
          <w:sz w:val="32"/>
        </w:rPr>
        <w:t>与上年相比，今年收入增加2</w:t>
      </w:r>
      <w:r>
        <w:rPr>
          <w:rFonts w:hint="default" w:ascii="仿宋_GB2312" w:eastAsia="仿宋_GB2312"/>
          <w:sz w:val="32"/>
        </w:rPr>
        <w:t>84.13</w:t>
      </w:r>
      <w:r>
        <w:rPr>
          <w:rFonts w:ascii="仿宋_GB2312" w:eastAsia="仿宋_GB2312"/>
          <w:sz w:val="32"/>
        </w:rPr>
        <w:t>万元，增长2</w:t>
      </w:r>
      <w:r>
        <w:rPr>
          <w:rFonts w:hint="default" w:ascii="仿宋_GB2312" w:eastAsia="仿宋_GB2312"/>
          <w:sz w:val="32"/>
        </w:rPr>
        <w:t>2.93%</w:t>
      </w:r>
      <w:r>
        <w:rPr>
          <w:rFonts w:ascii="仿宋_GB2312" w:eastAsia="仿宋_GB2312"/>
          <w:sz w:val="32"/>
        </w:rPr>
        <w:t>主要原因：</w:t>
      </w:r>
      <w:r>
        <w:rPr>
          <w:rFonts w:ascii="黑体" w:eastAsia="黑体"/>
          <w:sz w:val="32"/>
        </w:rPr>
        <w:t>一是保险基数上调，二是智慧加课程费</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default" w:ascii="楷体_GB2312" w:eastAsia="楷体_GB2312"/>
          <w:b/>
          <w:sz w:val="32"/>
        </w:rPr>
        <w:t>1516.29</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 xml:space="preserve"> 1.基本支出</w:t>
      </w:r>
      <w:r>
        <w:rPr>
          <w:rFonts w:hint="default" w:ascii="仿宋_GB2312" w:eastAsia="仿宋_GB2312"/>
          <w:sz w:val="32"/>
        </w:rPr>
        <w:t>1362.99</w:t>
      </w:r>
      <w:r>
        <w:rPr>
          <w:rFonts w:ascii="仿宋_GB2312" w:eastAsia="仿宋_GB2312"/>
          <w:sz w:val="32"/>
        </w:rPr>
        <w:t>万元，占支出总计的</w:t>
      </w:r>
      <w:r>
        <w:rPr>
          <w:rFonts w:hint="default" w:ascii="仿宋_GB2312" w:eastAsia="仿宋_GB2312"/>
          <w:sz w:val="32"/>
        </w:rPr>
        <w:t>89.89</w:t>
      </w:r>
      <w:r>
        <w:rPr>
          <w:rFonts w:ascii="仿宋_GB2312" w:eastAsia="仿宋_GB2312"/>
          <w:sz w:val="32"/>
        </w:rPr>
        <w:t>%。主要是为保障机构正常运转、完成日常工作任务而发生的各项支出，其中：工资福利支出</w:t>
      </w:r>
      <w:r>
        <w:rPr>
          <w:rFonts w:hint="default" w:ascii="仿宋_GB2312" w:eastAsia="仿宋_GB2312"/>
          <w:sz w:val="32"/>
        </w:rPr>
        <w:t>867.87</w:t>
      </w:r>
      <w:r>
        <w:rPr>
          <w:rFonts w:ascii="仿宋_GB2312" w:eastAsia="仿宋_GB2312"/>
          <w:sz w:val="32"/>
        </w:rPr>
        <w:t>万元，对个人和家庭的补助支出</w:t>
      </w:r>
      <w:r>
        <w:rPr>
          <w:rFonts w:hint="default" w:ascii="仿宋_GB2312" w:eastAsia="仿宋_GB2312"/>
          <w:sz w:val="32"/>
        </w:rPr>
        <w:t>449.76</w:t>
      </w:r>
      <w:r>
        <w:rPr>
          <w:rFonts w:ascii="仿宋_GB2312" w:eastAsia="仿宋_GB2312"/>
          <w:sz w:val="32"/>
        </w:rPr>
        <w:t>万元，商品和服务支出</w:t>
      </w:r>
      <w:r>
        <w:rPr>
          <w:rFonts w:hint="default" w:ascii="仿宋_GB2312" w:eastAsia="仿宋_GB2312"/>
          <w:sz w:val="32"/>
        </w:rPr>
        <w:t>40.7</w:t>
      </w:r>
      <w:r>
        <w:rPr>
          <w:rFonts w:ascii="仿宋_GB2312" w:eastAsia="仿宋_GB2312"/>
          <w:sz w:val="32"/>
        </w:rPr>
        <w:t>万元，资本性支出</w:t>
      </w:r>
      <w:r>
        <w:rPr>
          <w:rFonts w:hint="default" w:ascii="仿宋_GB2312" w:eastAsia="仿宋_GB2312"/>
          <w:sz w:val="32"/>
        </w:rPr>
        <w:t>4.66</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default" w:ascii="仿宋_GB2312" w:eastAsia="仿宋_GB2312"/>
          <w:sz w:val="32"/>
        </w:rPr>
        <w:t>153.30</w:t>
      </w:r>
      <w:r>
        <w:rPr>
          <w:rFonts w:ascii="仿宋_GB2312" w:eastAsia="仿宋_GB2312"/>
          <w:sz w:val="32"/>
        </w:rPr>
        <w:t>万元，占支出总计的</w:t>
      </w:r>
      <w:r>
        <w:rPr>
          <w:rFonts w:hint="default" w:ascii="仿宋_GB2312" w:eastAsia="仿宋_GB2312"/>
          <w:sz w:val="32"/>
        </w:rPr>
        <w:t>10.11</w:t>
      </w:r>
      <w:r>
        <w:rPr>
          <w:rFonts w:ascii="仿宋_GB2312" w:eastAsia="仿宋_GB2312"/>
          <w:sz w:val="32"/>
        </w:rPr>
        <w:t>%。主要包括教育管理专项业务经费、局转智慧加课程费等业务支出。</w:t>
      </w:r>
    </w:p>
    <w:p>
      <w:pPr>
        <w:pStyle w:val="6"/>
        <w:spacing w:line="560" w:lineRule="exact"/>
        <w:ind w:firstLine="660"/>
        <w:rPr>
          <w:rFonts w:hint="default" w:ascii="黑体" w:eastAsia="黑体"/>
          <w:sz w:val="32"/>
        </w:rPr>
      </w:pPr>
      <w:r>
        <w:rPr>
          <w:rFonts w:ascii="仿宋_GB2312" w:eastAsia="仿宋_GB2312"/>
          <w:sz w:val="32"/>
        </w:rPr>
        <w:t>与上年相比，今年支出增加2</w:t>
      </w:r>
      <w:r>
        <w:rPr>
          <w:rFonts w:hint="default" w:ascii="仿宋_GB2312" w:eastAsia="仿宋_GB2312"/>
          <w:sz w:val="32"/>
        </w:rPr>
        <w:t>83.11</w:t>
      </w:r>
      <w:r>
        <w:rPr>
          <w:rFonts w:ascii="仿宋_GB2312" w:eastAsia="仿宋_GB2312"/>
          <w:sz w:val="32"/>
        </w:rPr>
        <w:t>万元，增长主要原因：</w:t>
      </w:r>
      <w:r>
        <w:rPr>
          <w:rFonts w:ascii="黑体" w:eastAsia="黑体"/>
          <w:sz w:val="32"/>
        </w:rPr>
        <w:t>一是保险基数上调，二是智慧加课程费。</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（三）年末结转和结余1</w:t>
      </w:r>
      <w:r>
        <w:rPr>
          <w:rFonts w:hint="default" w:ascii="楷体_GB2312" w:eastAsia="楷体_GB2312"/>
          <w:b/>
          <w:sz w:val="32"/>
        </w:rPr>
        <w:t>.47</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主要是专用基金等原因形成的结余。与上年相比，今年结转结余与上年持平 。</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2022年度财政拨款支出</w:t>
      </w:r>
      <w:r>
        <w:rPr>
          <w:rFonts w:hint="default" w:ascii="仿宋_GB2312" w:eastAsia="仿宋_GB2312"/>
          <w:sz w:val="32"/>
        </w:rPr>
        <w:t>1516.29</w:t>
      </w:r>
      <w:r>
        <w:rPr>
          <w:rFonts w:ascii="仿宋_GB2312" w:eastAsia="仿宋_GB2312"/>
          <w:sz w:val="32"/>
        </w:rPr>
        <w:t>万元，其中：基本支出</w:t>
      </w:r>
      <w:r>
        <w:rPr>
          <w:rFonts w:hint="default" w:ascii="仿宋_GB2312" w:eastAsia="仿宋_GB2312"/>
          <w:sz w:val="32"/>
        </w:rPr>
        <w:t>1362.99</w:t>
      </w:r>
      <w:r>
        <w:rPr>
          <w:rFonts w:ascii="仿宋_GB2312" w:eastAsia="仿宋_GB2312"/>
          <w:sz w:val="32"/>
        </w:rPr>
        <w:t>万元，项目支出</w:t>
      </w:r>
      <w:r>
        <w:rPr>
          <w:rFonts w:hint="default" w:ascii="仿宋_GB2312" w:eastAsia="仿宋_GB2312"/>
          <w:sz w:val="32"/>
        </w:rPr>
        <w:t>153.3</w:t>
      </w:r>
      <w:r>
        <w:rPr>
          <w:rFonts w:ascii="仿宋_GB2312" w:eastAsia="仿宋_GB2312"/>
          <w:sz w:val="32"/>
        </w:rPr>
        <w:t>万元。与上年相比，财政拨款支出增加</w:t>
      </w:r>
      <w:r>
        <w:rPr>
          <w:rFonts w:hint="default" w:ascii="仿宋_GB2312" w:eastAsia="仿宋_GB2312"/>
          <w:sz w:val="32"/>
        </w:rPr>
        <w:t>283.11</w:t>
      </w:r>
      <w:r>
        <w:rPr>
          <w:rFonts w:ascii="仿宋_GB2312" w:eastAsia="仿宋_GB2312"/>
          <w:sz w:val="32"/>
        </w:rPr>
        <w:t>万元，增长</w:t>
      </w:r>
      <w:r>
        <w:rPr>
          <w:rFonts w:hint="default" w:ascii="仿宋_GB2312" w:eastAsia="仿宋_GB2312"/>
          <w:sz w:val="32"/>
        </w:rPr>
        <w:t>22.96</w:t>
      </w:r>
      <w:r>
        <w:rPr>
          <w:rFonts w:ascii="仿宋_GB2312" w:eastAsia="仿宋_GB2312"/>
          <w:sz w:val="32"/>
        </w:rPr>
        <w:t>%，主要原因：</w:t>
      </w:r>
      <w:r>
        <w:rPr>
          <w:rFonts w:ascii="黑体" w:eastAsia="黑体"/>
          <w:sz w:val="32"/>
        </w:rPr>
        <w:t>一是保险基数上调，二是智慧加课程费</w:t>
      </w:r>
      <w:r>
        <w:rPr>
          <w:rFonts w:ascii="仿宋_GB2312" w:eastAsia="仿宋_GB2312"/>
          <w:sz w:val="32"/>
        </w:rPr>
        <w:t>。与年初预算相比，2022年度财政拨款支出完成年初预算的</w:t>
      </w:r>
      <w:r>
        <w:rPr>
          <w:rFonts w:hint="default" w:ascii="仿宋_GB2312" w:eastAsia="仿宋_GB2312"/>
          <w:sz w:val="32"/>
        </w:rPr>
        <w:t>100</w:t>
      </w:r>
      <w:r>
        <w:rPr>
          <w:rFonts w:ascii="仿宋_GB2312" w:eastAsia="仿宋_GB2312"/>
          <w:sz w:val="32"/>
        </w:rPr>
        <w:t>%，其中：基本支出完成年初预算的</w:t>
      </w:r>
      <w:r>
        <w:rPr>
          <w:rFonts w:hint="default" w:ascii="仿宋_GB2312" w:eastAsia="仿宋_GB2312"/>
          <w:sz w:val="32"/>
        </w:rPr>
        <w:t>100</w:t>
      </w:r>
      <w:r>
        <w:rPr>
          <w:rFonts w:ascii="仿宋_GB2312" w:eastAsia="仿宋_GB2312"/>
          <w:sz w:val="32"/>
        </w:rPr>
        <w:t>%，项目支出完成年初预算的</w:t>
      </w:r>
      <w:r>
        <w:rPr>
          <w:rFonts w:hint="default" w:ascii="仿宋_GB2312" w:eastAsia="仿宋_GB2312"/>
          <w:sz w:val="32"/>
        </w:rPr>
        <w:t>100</w:t>
      </w:r>
      <w:r>
        <w:rPr>
          <w:rFonts w:ascii="仿宋_GB2312" w:eastAsia="仿宋_GB2312"/>
          <w:sz w:val="32"/>
        </w:rPr>
        <w:t>%。</w:t>
      </w:r>
    </w:p>
    <w:p>
      <w:pPr>
        <w:spacing w:line="560" w:lineRule="exact"/>
        <w:ind w:firstLine="660"/>
        <w:rPr>
          <w:rFonts w:hint="default" w:ascii="黑体" w:hAnsi="黑体" w:eastAsia="黑体" w:cs="黑体"/>
          <w:b/>
          <w:color w:val="FF0000"/>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2022年度一般公共预算财政拨款支出</w:t>
      </w:r>
      <w:r>
        <w:rPr>
          <w:rFonts w:hint="default" w:ascii="仿宋_GB2312" w:hAnsi="宋体" w:eastAsia="仿宋_GB2312"/>
          <w:sz w:val="32"/>
          <w:szCs w:val="32"/>
        </w:rPr>
        <w:t>1494.34</w:t>
      </w:r>
      <w:r>
        <w:rPr>
          <w:rFonts w:ascii="仿宋_GB2312" w:hAnsi="宋体" w:eastAsia="仿宋_GB2312"/>
          <w:sz w:val="32"/>
          <w:szCs w:val="32"/>
        </w:rPr>
        <w:t>万元，按支出功能分类科目分，包括：教育支出</w:t>
      </w:r>
      <w:r>
        <w:rPr>
          <w:rFonts w:hint="default" w:ascii="仿宋_GB2312" w:hAnsi="宋体" w:eastAsia="仿宋_GB2312"/>
          <w:sz w:val="32"/>
          <w:szCs w:val="32"/>
        </w:rPr>
        <w:t>1326.83</w:t>
      </w:r>
      <w:r>
        <w:rPr>
          <w:rFonts w:ascii="仿宋_GB2312" w:hAnsi="宋体" w:eastAsia="仿宋_GB2312"/>
          <w:sz w:val="32"/>
          <w:szCs w:val="32"/>
        </w:rPr>
        <w:t>万元，占</w:t>
      </w:r>
      <w:r>
        <w:rPr>
          <w:rFonts w:hint="default" w:ascii="仿宋_GB2312" w:hAnsi="宋体" w:eastAsia="仿宋_GB2312"/>
          <w:sz w:val="32"/>
          <w:szCs w:val="32"/>
        </w:rPr>
        <w:t>88.79</w:t>
      </w:r>
      <w:r>
        <w:rPr>
          <w:rFonts w:ascii="仿宋_GB2312" w:hAnsi="宋体" w:eastAsia="仿宋_GB2312"/>
          <w:sz w:val="32"/>
          <w:szCs w:val="32"/>
        </w:rPr>
        <w:t>%；社会保障就业支出</w:t>
      </w:r>
      <w:r>
        <w:rPr>
          <w:rFonts w:hint="default" w:ascii="仿宋_GB2312" w:hAnsi="宋体" w:eastAsia="仿宋_GB2312"/>
          <w:sz w:val="32"/>
          <w:szCs w:val="32"/>
        </w:rPr>
        <w:t>122.8</w:t>
      </w:r>
      <w:r>
        <w:rPr>
          <w:rFonts w:ascii="仿宋_GB2312" w:hAnsi="宋体" w:eastAsia="仿宋_GB2312"/>
          <w:sz w:val="32"/>
          <w:szCs w:val="32"/>
        </w:rPr>
        <w:t>万元，占</w:t>
      </w:r>
      <w:r>
        <w:rPr>
          <w:rFonts w:hint="default" w:ascii="仿宋_GB2312" w:hAnsi="宋体" w:eastAsia="仿宋_GB2312"/>
          <w:sz w:val="32"/>
          <w:szCs w:val="32"/>
        </w:rPr>
        <w:t>8.22</w:t>
      </w:r>
      <w:r>
        <w:rPr>
          <w:rFonts w:ascii="仿宋_GB2312" w:hAnsi="宋体" w:eastAsia="仿宋_GB2312"/>
          <w:sz w:val="32"/>
          <w:szCs w:val="32"/>
        </w:rPr>
        <w:t>%；卫生健康支出</w:t>
      </w:r>
      <w:r>
        <w:rPr>
          <w:rFonts w:hint="default" w:ascii="仿宋_GB2312" w:hAnsi="宋体" w:eastAsia="仿宋_GB2312"/>
          <w:sz w:val="32"/>
          <w:szCs w:val="32"/>
        </w:rPr>
        <w:t>44.7</w:t>
      </w:r>
      <w:r>
        <w:rPr>
          <w:rFonts w:ascii="仿宋_GB2312" w:hAnsi="宋体" w:eastAsia="仿宋_GB2312"/>
          <w:sz w:val="32"/>
          <w:szCs w:val="32"/>
        </w:rPr>
        <w:t>万元，占</w:t>
      </w:r>
      <w:r>
        <w:rPr>
          <w:rFonts w:hint="default" w:ascii="仿宋_GB2312" w:hAnsi="宋体" w:eastAsia="仿宋_GB2312"/>
          <w:sz w:val="32"/>
          <w:szCs w:val="32"/>
        </w:rPr>
        <w:t>2.99</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default" w:ascii="仿宋_GB2312" w:hAnsi="宋体" w:eastAsia="仿宋_GB2312"/>
          <w:sz w:val="32"/>
          <w:szCs w:val="32"/>
        </w:rPr>
        <w:t>1494.34</w:t>
      </w:r>
      <w:r>
        <w:rPr>
          <w:rFonts w:ascii="仿宋_GB2312" w:hAnsi="宋体" w:eastAsia="仿宋_GB2312"/>
          <w:sz w:val="32"/>
          <w:szCs w:val="32"/>
        </w:rPr>
        <w:t>万元，具体包括：</w:t>
      </w:r>
    </w:p>
    <w:p>
      <w:pPr>
        <w:spacing w:line="540" w:lineRule="exact"/>
        <w:ind w:firstLine="640" w:firstLineChars="200"/>
        <w:outlineLvl w:val="2"/>
        <w:rPr>
          <w:rFonts w:hint="default" w:ascii="仿宋_GB2312" w:hAnsi="宋体" w:eastAsia="仿宋_GB2312"/>
          <w:sz w:val="32"/>
          <w:szCs w:val="32"/>
        </w:rPr>
      </w:pPr>
      <w:r>
        <w:rPr>
          <w:rFonts w:ascii="仿宋_GB2312" w:hAnsi="宋体" w:eastAsia="仿宋_GB2312"/>
          <w:sz w:val="32"/>
          <w:szCs w:val="32"/>
        </w:rPr>
        <w:t>教育支出</w:t>
      </w:r>
      <w:r>
        <w:rPr>
          <w:rFonts w:hint="default" w:ascii="仿宋_GB2312" w:hAnsi="宋体" w:eastAsia="仿宋_GB2312"/>
          <w:sz w:val="32"/>
          <w:szCs w:val="32"/>
        </w:rPr>
        <w:t>1326.83</w:t>
      </w:r>
      <w:r>
        <w:rPr>
          <w:rFonts w:ascii="仿宋_GB2312" w:hAnsi="宋体" w:eastAsia="仿宋_GB2312"/>
          <w:sz w:val="32"/>
          <w:szCs w:val="32"/>
        </w:rPr>
        <w:t>万元，具体包括：</w:t>
      </w:r>
    </w:p>
    <w:p>
      <w:pPr>
        <w:spacing w:line="540" w:lineRule="exact"/>
        <w:ind w:firstLine="640" w:firstLineChars="200"/>
        <w:outlineLvl w:val="2"/>
        <w:rPr>
          <w:rFonts w:hint="default" w:ascii="仿宋_GB2312" w:hAnsi="宋体" w:eastAsia="仿宋_GB2312"/>
          <w:sz w:val="32"/>
          <w:szCs w:val="32"/>
        </w:rPr>
      </w:pPr>
      <w:r>
        <w:rPr>
          <w:rFonts w:ascii="仿宋_GB2312" w:hAnsi="宋体" w:eastAsia="仿宋_GB2312"/>
          <w:sz w:val="32"/>
          <w:szCs w:val="32"/>
        </w:rPr>
        <w:t>（1）学前教育</w:t>
      </w:r>
      <w:r>
        <w:rPr>
          <w:rFonts w:hint="default" w:ascii="仿宋_GB2312" w:hAnsi="宋体" w:eastAsia="仿宋_GB2312"/>
          <w:sz w:val="32"/>
          <w:szCs w:val="32"/>
        </w:rPr>
        <w:t>50.19</w:t>
      </w:r>
      <w:r>
        <w:rPr>
          <w:rFonts w:ascii="仿宋_GB2312" w:hAnsi="宋体" w:eastAsia="仿宋_GB2312"/>
          <w:sz w:val="32"/>
          <w:szCs w:val="32"/>
        </w:rPr>
        <w:t>万元，主要是办公费、电费、邮电费、维修（护）费、其他商品和服务支出等支出，完成年初预算的100%</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40" w:lineRule="exact"/>
        <w:ind w:firstLine="640" w:firstLineChars="200"/>
        <w:outlineLvl w:val="2"/>
        <w:rPr>
          <w:rFonts w:hint="default" w:ascii="仿宋_GB2312" w:hAnsi="宋体" w:eastAsia="仿宋_GB2312"/>
          <w:sz w:val="32"/>
          <w:szCs w:val="32"/>
        </w:rPr>
      </w:pPr>
      <w:r>
        <w:rPr>
          <w:rFonts w:ascii="仿宋_GB2312" w:hAnsi="宋体" w:eastAsia="仿宋_GB2312"/>
          <w:sz w:val="32"/>
          <w:szCs w:val="32"/>
        </w:rPr>
        <w:t>（2）小学教育</w:t>
      </w:r>
      <w:r>
        <w:rPr>
          <w:rFonts w:hint="default" w:ascii="仿宋_GB2312" w:hAnsi="宋体" w:eastAsia="仿宋_GB2312"/>
          <w:sz w:val="32"/>
          <w:szCs w:val="32"/>
        </w:rPr>
        <w:t>1268.77</w:t>
      </w:r>
      <w:r>
        <w:rPr>
          <w:rFonts w:ascii="仿宋_GB2312" w:hAnsi="宋体" w:eastAsia="仿宋_GB2312"/>
          <w:sz w:val="32"/>
          <w:szCs w:val="32"/>
        </w:rPr>
        <w:t>万元，主要是工资福利支出、办公费、印刷费、手续费、水电费、邮电费、取暖费、租赁费、培训费、专用材料费、劳务费、工会经费、公务用车运行维护费、其他交通费用、其他商品和服务支出、退休费、抚恤金、生活补助、助学金、办公设备购置、专业设备购置等，完成年初预算的100%</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40" w:lineRule="exact"/>
        <w:ind w:firstLine="640" w:firstLineChars="200"/>
        <w:outlineLvl w:val="2"/>
        <w:rPr>
          <w:rFonts w:hint="default" w:ascii="仿宋_GB2312" w:hAnsi="宋体" w:eastAsia="仿宋_GB2312"/>
          <w:sz w:val="32"/>
          <w:szCs w:val="32"/>
        </w:rPr>
      </w:pPr>
      <w:r>
        <w:rPr>
          <w:rFonts w:ascii="仿宋_GB2312" w:hAnsi="宋体" w:eastAsia="仿宋_GB2312"/>
          <w:sz w:val="32"/>
          <w:szCs w:val="32"/>
        </w:rPr>
        <w:t>（3）其他普通教育支出0</w:t>
      </w:r>
      <w:r>
        <w:rPr>
          <w:rFonts w:hint="default" w:ascii="仿宋_GB2312" w:hAnsi="宋体" w:eastAsia="仿宋_GB2312"/>
          <w:sz w:val="32"/>
          <w:szCs w:val="32"/>
        </w:rPr>
        <w:t>.09</w:t>
      </w:r>
      <w:r>
        <w:rPr>
          <w:rFonts w:ascii="仿宋_GB2312" w:hAnsi="宋体" w:eastAsia="仿宋_GB2312"/>
          <w:sz w:val="32"/>
          <w:szCs w:val="32"/>
        </w:rPr>
        <w:t>万元，主要是其他工资福利支出，完成年初预算的100%</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40" w:lineRule="exact"/>
        <w:ind w:firstLine="640" w:firstLineChars="200"/>
        <w:outlineLvl w:val="2"/>
        <w:rPr>
          <w:rFonts w:hint="default" w:ascii="仿宋_GB2312" w:hAnsi="宋体" w:eastAsia="仿宋_GB2312"/>
          <w:sz w:val="32"/>
          <w:szCs w:val="32"/>
        </w:rPr>
      </w:pPr>
      <w:r>
        <w:rPr>
          <w:rFonts w:ascii="仿宋_GB2312" w:hAnsi="宋体" w:eastAsia="仿宋_GB2312"/>
          <w:sz w:val="32"/>
          <w:szCs w:val="32"/>
        </w:rPr>
        <w:t>（4） 其他教育费附加安排的支出</w:t>
      </w:r>
      <w:r>
        <w:rPr>
          <w:rFonts w:hint="default" w:ascii="仿宋_GB2312" w:hAnsi="宋体" w:eastAsia="仿宋_GB2312"/>
          <w:sz w:val="32"/>
          <w:szCs w:val="32"/>
        </w:rPr>
        <w:t>7.78</w:t>
      </w:r>
      <w:r>
        <w:rPr>
          <w:rFonts w:ascii="仿宋_GB2312" w:hAnsi="宋体" w:eastAsia="仿宋_GB2312"/>
          <w:sz w:val="32"/>
          <w:szCs w:val="32"/>
        </w:rPr>
        <w:t>万元，主要是办公费、水电费、邮电费、维修（护）费、劳务费、其他交通费、其他商品和服务支出、办公设备购置、专业设备购置等，完成年初预算的100%</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40" w:lineRule="exact"/>
        <w:ind w:firstLine="640" w:firstLineChars="200"/>
        <w:outlineLvl w:val="2"/>
        <w:rPr>
          <w:rFonts w:hint="default" w:ascii="仿宋_GB2312" w:hAnsi="宋体" w:eastAsia="仿宋_GB2312"/>
          <w:sz w:val="32"/>
          <w:szCs w:val="32"/>
        </w:rPr>
      </w:pPr>
      <w:r>
        <w:rPr>
          <w:rFonts w:hint="eastAsia" w:ascii="仿宋_GB2312" w:hAnsi="宋体" w:eastAsia="仿宋_GB2312"/>
          <w:sz w:val="32"/>
          <w:szCs w:val="32"/>
          <w:lang w:val="en-US" w:eastAsia="zh-CN"/>
        </w:rPr>
        <w:t>2.</w:t>
      </w:r>
      <w:r>
        <w:rPr>
          <w:rFonts w:ascii="仿宋_GB2312" w:hAnsi="宋体" w:eastAsia="仿宋_GB2312"/>
          <w:sz w:val="32"/>
          <w:szCs w:val="32"/>
        </w:rPr>
        <w:t>社会保障和就业支出</w:t>
      </w:r>
      <w:r>
        <w:rPr>
          <w:rFonts w:hint="default" w:ascii="仿宋_GB2312" w:hAnsi="宋体" w:eastAsia="仿宋_GB2312"/>
          <w:sz w:val="32"/>
          <w:szCs w:val="32"/>
        </w:rPr>
        <w:t>122.81</w:t>
      </w:r>
      <w:r>
        <w:rPr>
          <w:rFonts w:ascii="仿宋_GB2312" w:hAnsi="宋体" w:eastAsia="仿宋_GB2312"/>
          <w:sz w:val="32"/>
          <w:szCs w:val="32"/>
        </w:rPr>
        <w:t>万元，具体包括：</w:t>
      </w:r>
    </w:p>
    <w:p>
      <w:pPr>
        <w:spacing w:line="540" w:lineRule="exact"/>
        <w:ind w:firstLine="640" w:firstLineChars="200"/>
        <w:outlineLvl w:val="2"/>
        <w:rPr>
          <w:rFonts w:hint="default" w:ascii="仿宋_GB2312" w:hAnsi="宋体" w:eastAsia="仿宋_GB2312"/>
          <w:sz w:val="32"/>
          <w:szCs w:val="32"/>
        </w:rPr>
      </w:pPr>
      <w:r>
        <w:rPr>
          <w:rFonts w:ascii="仿宋_GB2312" w:hAnsi="宋体" w:eastAsia="仿宋_GB2312"/>
          <w:sz w:val="32"/>
          <w:szCs w:val="32"/>
        </w:rPr>
        <w:t>（1）机关事业单位基本养老保险缴费支出</w:t>
      </w:r>
      <w:r>
        <w:rPr>
          <w:rFonts w:hint="default" w:ascii="仿宋_GB2312" w:hAnsi="宋体" w:eastAsia="仿宋_GB2312"/>
          <w:sz w:val="32"/>
          <w:szCs w:val="32"/>
        </w:rPr>
        <w:t>92.43</w:t>
      </w:r>
      <w:r>
        <w:rPr>
          <w:rFonts w:ascii="仿宋_GB2312" w:hAnsi="宋体" w:eastAsia="仿宋_GB2312"/>
          <w:sz w:val="32"/>
          <w:szCs w:val="32"/>
        </w:rPr>
        <w:t>万元，完成年初预算的100%</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40" w:lineRule="exact"/>
        <w:ind w:firstLine="640" w:firstLineChars="200"/>
        <w:outlineLvl w:val="2"/>
        <w:rPr>
          <w:rFonts w:hint="default" w:ascii="仿宋_GB2312" w:hAnsi="宋体" w:eastAsia="仿宋_GB2312"/>
          <w:sz w:val="32"/>
          <w:szCs w:val="32"/>
        </w:rPr>
      </w:pPr>
      <w:r>
        <w:rPr>
          <w:rFonts w:ascii="仿宋_GB2312" w:hAnsi="宋体" w:eastAsia="仿宋_GB2312"/>
          <w:sz w:val="32"/>
          <w:szCs w:val="32"/>
        </w:rPr>
        <w:t>（2）机关事业单位职业年金缴费支出</w:t>
      </w:r>
      <w:r>
        <w:rPr>
          <w:rFonts w:hint="default" w:ascii="仿宋_GB2312" w:hAnsi="宋体" w:eastAsia="仿宋_GB2312"/>
          <w:sz w:val="32"/>
          <w:szCs w:val="32"/>
        </w:rPr>
        <w:t>12.89</w:t>
      </w:r>
      <w:r>
        <w:rPr>
          <w:rFonts w:ascii="仿宋_GB2312" w:hAnsi="宋体" w:eastAsia="仿宋_GB2312"/>
          <w:sz w:val="32"/>
          <w:szCs w:val="32"/>
        </w:rPr>
        <w:t>万元，完成年初预算的100%</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40" w:lineRule="exact"/>
        <w:ind w:firstLine="640" w:firstLineChars="200"/>
        <w:outlineLvl w:val="2"/>
        <w:rPr>
          <w:rFonts w:hint="default" w:ascii="仿宋_GB2312" w:hAnsi="宋体" w:eastAsia="仿宋_GB2312"/>
          <w:sz w:val="32"/>
          <w:szCs w:val="32"/>
        </w:rPr>
      </w:pPr>
      <w:r>
        <w:rPr>
          <w:rFonts w:ascii="仿宋_GB2312" w:hAnsi="宋体" w:eastAsia="仿宋_GB2312"/>
          <w:sz w:val="32"/>
          <w:szCs w:val="32"/>
        </w:rPr>
        <w:t>(3)事业单位离退休</w:t>
      </w:r>
      <w:r>
        <w:rPr>
          <w:rFonts w:hint="default" w:ascii="仿宋_GB2312" w:hAnsi="宋体" w:eastAsia="仿宋_GB2312"/>
          <w:sz w:val="32"/>
          <w:szCs w:val="32"/>
        </w:rPr>
        <w:t>17.49</w:t>
      </w:r>
      <w:r>
        <w:rPr>
          <w:rFonts w:ascii="仿宋_GB2312" w:hAnsi="宋体" w:eastAsia="仿宋_GB2312"/>
          <w:sz w:val="32"/>
          <w:szCs w:val="32"/>
        </w:rPr>
        <w:t>万元，完成年初预算的100%</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40" w:lineRule="exact"/>
        <w:ind w:firstLine="640" w:firstLineChars="200"/>
        <w:outlineLvl w:val="2"/>
        <w:rPr>
          <w:rFonts w:hint="default" w:ascii="仿宋_GB2312" w:hAnsi="宋体" w:eastAsia="仿宋_GB2312"/>
          <w:sz w:val="32"/>
          <w:szCs w:val="32"/>
        </w:rPr>
      </w:pPr>
      <w:r>
        <w:rPr>
          <w:rFonts w:hint="eastAsia" w:ascii="仿宋_GB2312" w:hAnsi="宋体" w:eastAsia="仿宋_GB2312"/>
          <w:sz w:val="32"/>
          <w:szCs w:val="32"/>
          <w:lang w:val="en-US" w:eastAsia="zh-CN"/>
        </w:rPr>
        <w:t>3.</w:t>
      </w:r>
      <w:r>
        <w:rPr>
          <w:rFonts w:ascii="仿宋_GB2312" w:hAnsi="宋体" w:eastAsia="仿宋_GB2312"/>
          <w:sz w:val="32"/>
          <w:szCs w:val="32"/>
        </w:rPr>
        <w:t>卫生健康支出</w:t>
      </w:r>
      <w:r>
        <w:rPr>
          <w:rFonts w:hint="default" w:ascii="仿宋_GB2312" w:hAnsi="宋体" w:eastAsia="仿宋_GB2312"/>
          <w:sz w:val="32"/>
          <w:szCs w:val="32"/>
        </w:rPr>
        <w:t>44.7</w:t>
      </w:r>
      <w:r>
        <w:rPr>
          <w:rFonts w:ascii="仿宋_GB2312" w:hAnsi="宋体" w:eastAsia="仿宋_GB2312"/>
          <w:sz w:val="32"/>
          <w:szCs w:val="32"/>
        </w:rPr>
        <w:t>万元，具体包括：</w:t>
      </w:r>
    </w:p>
    <w:p>
      <w:pPr>
        <w:spacing w:line="540" w:lineRule="exact"/>
        <w:ind w:firstLine="640" w:firstLineChars="200"/>
        <w:outlineLvl w:val="2"/>
        <w:rPr>
          <w:rFonts w:hint="default" w:ascii="仿宋_GB2312" w:hAnsi="宋体" w:eastAsia="仿宋_GB2312"/>
          <w:sz w:val="32"/>
          <w:szCs w:val="32"/>
        </w:rPr>
      </w:pPr>
      <w:r>
        <w:rPr>
          <w:rFonts w:ascii="仿宋_GB2312" w:hAnsi="宋体" w:eastAsia="仿宋_GB2312"/>
          <w:sz w:val="32"/>
          <w:szCs w:val="32"/>
        </w:rPr>
        <w:t>（1）事业单位医疗</w:t>
      </w:r>
      <w:r>
        <w:rPr>
          <w:rFonts w:hint="default" w:ascii="仿宋_GB2312" w:hAnsi="宋体" w:eastAsia="仿宋_GB2312"/>
          <w:sz w:val="32"/>
          <w:szCs w:val="32"/>
        </w:rPr>
        <w:t>39.09</w:t>
      </w:r>
      <w:r>
        <w:rPr>
          <w:rFonts w:ascii="仿宋_GB2312" w:hAnsi="宋体" w:eastAsia="仿宋_GB2312"/>
          <w:sz w:val="32"/>
          <w:szCs w:val="32"/>
        </w:rPr>
        <w:t>万元，主要是职工基本医疗保险缴费支出，完成年初预算的100%</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40" w:lineRule="exact"/>
        <w:ind w:firstLine="640" w:firstLineChars="200"/>
        <w:outlineLvl w:val="2"/>
        <w:rPr>
          <w:rFonts w:hint="default" w:ascii="仿宋_GB2312" w:hAnsi="宋体" w:eastAsia="仿宋_GB2312"/>
          <w:sz w:val="32"/>
          <w:szCs w:val="32"/>
        </w:rPr>
      </w:pPr>
      <w:r>
        <w:rPr>
          <w:rFonts w:ascii="仿宋_GB2312" w:hAnsi="宋体" w:eastAsia="仿宋_GB2312"/>
          <w:sz w:val="32"/>
          <w:szCs w:val="32"/>
        </w:rPr>
        <w:t>（2）其他行政事业单位医疗支出</w:t>
      </w:r>
      <w:r>
        <w:rPr>
          <w:rFonts w:hint="default" w:ascii="仿宋_GB2312" w:hAnsi="宋体" w:eastAsia="仿宋_GB2312"/>
          <w:sz w:val="32"/>
          <w:szCs w:val="32"/>
        </w:rPr>
        <w:t>5.61</w:t>
      </w:r>
      <w:r>
        <w:rPr>
          <w:rFonts w:ascii="仿宋_GB2312" w:hAnsi="宋体" w:eastAsia="仿宋_GB2312"/>
          <w:sz w:val="32"/>
          <w:szCs w:val="32"/>
        </w:rPr>
        <w:t>万元，主要是医疗费，完成年初预算的100%</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40" w:lineRule="exact"/>
        <w:ind w:firstLine="643" w:firstLineChars="20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p>
    <w:p>
      <w:pPr>
        <w:spacing w:line="540" w:lineRule="exact"/>
        <w:ind w:firstLine="640" w:firstLineChars="200"/>
        <w:outlineLvl w:val="2"/>
        <w:rPr>
          <w:rFonts w:hint="default" w:ascii="仿宋_GB2312" w:hAnsi="宋体" w:eastAsia="仿宋_GB2312"/>
          <w:sz w:val="32"/>
          <w:szCs w:val="32"/>
        </w:rPr>
      </w:pPr>
      <w:r>
        <w:rPr>
          <w:rFonts w:ascii="仿宋_GB2312" w:hAnsi="宋体" w:eastAsia="仿宋_GB2312"/>
          <w:sz w:val="32"/>
          <w:szCs w:val="32"/>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pStyle w:val="6"/>
        <w:spacing w:line="560" w:lineRule="exact"/>
        <w:ind w:firstLine="660"/>
        <w:rPr>
          <w:rFonts w:hint="default" w:ascii="仿宋_GB2312" w:eastAsia="仿宋_GB2312"/>
          <w:sz w:val="32"/>
          <w:szCs w:val="32"/>
        </w:rPr>
      </w:pPr>
      <w:r>
        <w:rPr>
          <w:rFonts w:ascii="仿宋_GB2312" w:eastAsia="仿宋_GB2312"/>
          <w:sz w:val="32"/>
          <w:szCs w:val="32"/>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autoSpaceDN w:val="0"/>
        <w:spacing w:line="560" w:lineRule="exact"/>
        <w:ind w:firstLine="640"/>
        <w:rPr>
          <w:rFonts w:ascii="仿宋_GB2312" w:eastAsia="仿宋_GB2312"/>
          <w:sz w:val="32"/>
        </w:rPr>
      </w:pPr>
    </w:p>
    <w:p>
      <w:pPr>
        <w:pStyle w:val="6"/>
        <w:autoSpaceDN w:val="0"/>
        <w:spacing w:line="560" w:lineRule="exact"/>
        <w:ind w:firstLine="640"/>
        <w:rPr>
          <w:rFonts w:hint="default" w:ascii="仿宋_GB2312" w:eastAsia="仿宋_GB2312"/>
          <w:sz w:val="32"/>
        </w:rPr>
      </w:pP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2022年度一般公共预算财政拨款基本支出</w:t>
      </w:r>
      <w:r>
        <w:rPr>
          <w:rFonts w:hint="default" w:ascii="仿宋_GB2312" w:eastAsia="仿宋_GB2312"/>
          <w:sz w:val="32"/>
        </w:rPr>
        <w:t>1362.99</w:t>
      </w:r>
      <w:r>
        <w:rPr>
          <w:rFonts w:ascii="仿宋_GB2312" w:eastAsia="仿宋_GB2312"/>
          <w:sz w:val="32"/>
        </w:rPr>
        <w:t>万元，其中：人员经费</w:t>
      </w:r>
      <w:r>
        <w:rPr>
          <w:rFonts w:hint="default" w:ascii="仿宋_GB2312" w:eastAsia="仿宋_GB2312"/>
          <w:sz w:val="32"/>
        </w:rPr>
        <w:t>867.87</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449.76万元；日常公用经费</w:t>
      </w:r>
      <w:r>
        <w:rPr>
          <w:rFonts w:hint="default" w:ascii="仿宋_GB2312" w:eastAsia="仿宋_GB2312"/>
          <w:sz w:val="32"/>
        </w:rPr>
        <w:t>40.7</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w:t>
      </w:r>
      <w:r>
        <w:rPr>
          <w:rFonts w:hint="default" w:ascii="仿宋_GB2312" w:eastAsia="仿宋_GB2312"/>
          <w:sz w:val="32"/>
        </w:rPr>
        <w:t>4.66</w:t>
      </w:r>
      <w:r>
        <w:rPr>
          <w:rFonts w:ascii="仿宋_GB2312" w:eastAsia="仿宋_GB2312"/>
          <w:sz w:val="32"/>
        </w:rPr>
        <w:t>万元，专用设备购置、信息网络及软件购置更新。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hAnsi="黑体" w:eastAsia="楷体_GB2312"/>
          <w:b/>
          <w:color w:val="FF0000"/>
          <w:sz w:val="32"/>
          <w:szCs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2022年机关运行经费支出0万元，与上年持平，主要原因是学校属于事业单位，无机关运行经费。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2022年政府采购支出总额</w:t>
      </w:r>
      <w:r>
        <w:rPr>
          <w:rFonts w:hint="default" w:ascii="仿宋_GB2312" w:eastAsia="仿宋_GB2312"/>
          <w:sz w:val="32"/>
        </w:rPr>
        <w:t>0</w:t>
      </w:r>
      <w:r>
        <w:rPr>
          <w:rFonts w:ascii="仿宋_GB2312" w:eastAsia="仿宋_GB2312"/>
          <w:sz w:val="32"/>
        </w:rPr>
        <w:t>万元，其中：政府采购货物支出</w:t>
      </w:r>
      <w:r>
        <w:rPr>
          <w:rFonts w:hint="default" w:ascii="仿宋_GB2312" w:eastAsia="仿宋_GB2312"/>
          <w:sz w:val="32"/>
        </w:rPr>
        <w:t>0</w:t>
      </w:r>
      <w:r>
        <w:rPr>
          <w:rFonts w:ascii="仿宋_GB2312" w:eastAsia="仿宋_GB2312"/>
          <w:sz w:val="32"/>
        </w:rPr>
        <w:t>万元，政府采购工程支出</w:t>
      </w:r>
      <w:r>
        <w:rPr>
          <w:rFonts w:hint="default" w:ascii="仿宋_GB2312" w:eastAsia="仿宋_GB2312"/>
          <w:sz w:val="32"/>
        </w:rPr>
        <w:t>0</w:t>
      </w:r>
      <w:r>
        <w:rPr>
          <w:rFonts w:ascii="仿宋_GB2312" w:eastAsia="仿宋_GB2312"/>
          <w:sz w:val="32"/>
        </w:rPr>
        <w:t>万元，政府采购服务支出</w:t>
      </w:r>
      <w:r>
        <w:rPr>
          <w:rFonts w:hint="default" w:ascii="仿宋_GB2312" w:eastAsia="仿宋_GB2312"/>
          <w:sz w:val="32"/>
        </w:rPr>
        <w:t>0</w:t>
      </w:r>
      <w:r>
        <w:rPr>
          <w:rFonts w:ascii="仿宋_GB2312" w:eastAsia="仿宋_GB2312"/>
          <w:sz w:val="32"/>
        </w:rPr>
        <w:t>万元。授予中小企业合同金额</w:t>
      </w:r>
      <w:r>
        <w:rPr>
          <w:rFonts w:hint="default" w:ascii="仿宋_GB2312" w:eastAsia="仿宋_GB2312"/>
          <w:sz w:val="32"/>
        </w:rPr>
        <w:t>0</w:t>
      </w:r>
      <w:r>
        <w:rPr>
          <w:rFonts w:ascii="仿宋_GB2312" w:eastAsia="仿宋_GB2312"/>
          <w:sz w:val="32"/>
        </w:rPr>
        <w:t>万元，占政府采购支出总额的</w:t>
      </w:r>
      <w:r>
        <w:rPr>
          <w:rFonts w:hint="default" w:ascii="仿宋_GB2312" w:eastAsia="仿宋_GB2312"/>
          <w:sz w:val="32"/>
        </w:rPr>
        <w:t>0</w:t>
      </w:r>
      <w:r>
        <w:rPr>
          <w:rFonts w:ascii="仿宋_GB2312" w:eastAsia="仿宋_GB2312"/>
          <w:sz w:val="32"/>
        </w:rPr>
        <w:t>%，其中：授予小微企业合同金额</w:t>
      </w:r>
      <w:r>
        <w:rPr>
          <w:rFonts w:hint="default" w:ascii="仿宋_GB2312" w:eastAsia="仿宋_GB2312"/>
          <w:sz w:val="32"/>
        </w:rPr>
        <w:t>0</w:t>
      </w:r>
      <w:r>
        <w:rPr>
          <w:rFonts w:ascii="仿宋_GB2312" w:eastAsia="仿宋_GB2312"/>
          <w:sz w:val="32"/>
        </w:rPr>
        <w:t>万元，占政府采购支出总额的</w:t>
      </w:r>
      <w:r>
        <w:rPr>
          <w:rFonts w:hint="default" w:ascii="仿宋_GB2312" w:eastAsia="仿宋_GB2312"/>
          <w:sz w:val="32"/>
        </w:rPr>
        <w:t>0</w:t>
      </w:r>
      <w:r>
        <w:rPr>
          <w:rFonts w:ascii="仿宋_GB2312" w:eastAsia="仿宋_GB2312"/>
          <w:sz w:val="32"/>
        </w:rPr>
        <w:t>%；货物采购授予中小企业合同金额占货物支出金额的</w:t>
      </w:r>
      <w:r>
        <w:rPr>
          <w:rFonts w:hint="default" w:ascii="仿宋_GB2312" w:eastAsia="仿宋_GB2312"/>
          <w:sz w:val="32"/>
        </w:rPr>
        <w:t>0</w:t>
      </w:r>
      <w:r>
        <w:rPr>
          <w:rFonts w:ascii="仿宋_GB2312" w:eastAsia="仿宋_GB2312"/>
          <w:sz w:val="32"/>
        </w:rPr>
        <w:t>%；工程采购授予中小企业合同金额占工程支出金额的</w:t>
      </w:r>
      <w:r>
        <w:rPr>
          <w:rFonts w:hint="default" w:ascii="仿宋_GB2312" w:eastAsia="仿宋_GB2312"/>
          <w:sz w:val="32"/>
        </w:rPr>
        <w:t>0</w:t>
      </w:r>
      <w:r>
        <w:rPr>
          <w:rFonts w:ascii="仿宋_GB2312" w:eastAsia="仿宋_GB2312"/>
          <w:sz w:val="32"/>
        </w:rPr>
        <w:t>%；服务采购授予中小企业合同金额占服务支出金额的</w:t>
      </w:r>
      <w:r>
        <w:rPr>
          <w:rFonts w:hint="default" w:ascii="仿宋_GB2312" w:eastAsia="仿宋_GB2312"/>
          <w:sz w:val="32"/>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截至2022年12月31日，共有车辆</w:t>
      </w:r>
      <w:r>
        <w:rPr>
          <w:rFonts w:hint="default" w:ascii="仿宋_GB2312" w:eastAsia="仿宋_GB2312"/>
          <w:sz w:val="32"/>
        </w:rPr>
        <w:t>0</w:t>
      </w:r>
      <w:r>
        <w:rPr>
          <w:rFonts w:ascii="仿宋_GB2312" w:eastAsia="仿宋_GB2312"/>
          <w:sz w:val="32"/>
        </w:rPr>
        <w:t>辆，单位价值50万元以上通用设备</w:t>
      </w:r>
      <w:r>
        <w:rPr>
          <w:rFonts w:hint="default" w:ascii="仿宋_GB2312" w:eastAsia="仿宋_GB2312"/>
          <w:sz w:val="32"/>
        </w:rPr>
        <w:t>0</w:t>
      </w:r>
      <w:r>
        <w:rPr>
          <w:rFonts w:ascii="仿宋_GB2312" w:eastAsia="仿宋_GB2312"/>
          <w:sz w:val="32"/>
        </w:rPr>
        <w:t>台（套），单价100万元以上专用设备</w:t>
      </w:r>
      <w:r>
        <w:rPr>
          <w:rFonts w:hint="default" w:ascii="仿宋_GB2312" w:eastAsia="仿宋_GB2312"/>
          <w:sz w:val="32"/>
        </w:rPr>
        <w:t>0</w:t>
      </w:r>
      <w:r>
        <w:rPr>
          <w:rFonts w:ascii="仿宋_GB2312" w:eastAsia="仿宋_GB2312"/>
          <w:sz w:val="32"/>
        </w:rPr>
        <w:t>台（套）。</w:t>
      </w:r>
    </w:p>
    <w:p>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pPr>
        <w:widowControl/>
        <w:spacing w:line="520" w:lineRule="exact"/>
        <w:ind w:firstLine="643" w:firstLineChars="200"/>
        <w:jc w:val="left"/>
        <w:rPr>
          <w:rFonts w:hint="default" w:ascii="仿宋_GB2312" w:hAnsi="仿宋_GB2312" w:eastAsia="仿宋_GB2312" w:cs="仿宋_GB2312"/>
          <w:b/>
          <w:sz w:val="32"/>
          <w:szCs w:val="32"/>
          <w:lang w:bidi="ar"/>
        </w:rPr>
      </w:pPr>
      <w:r>
        <w:rPr>
          <w:rFonts w:ascii="仿宋_GB2312" w:hAnsi="仿宋_GB2312" w:eastAsia="仿宋_GB2312" w:cs="仿宋_GB2312"/>
          <w:b/>
          <w:sz w:val="32"/>
          <w:szCs w:val="32"/>
          <w:lang w:bidi="ar"/>
        </w:rPr>
        <w:t>1.绩效评价工作开展情况。</w:t>
      </w:r>
    </w:p>
    <w:p>
      <w:pPr>
        <w:widowControl/>
        <w:spacing w:line="520" w:lineRule="exact"/>
        <w:ind w:firstLine="640" w:firstLineChars="200"/>
        <w:jc w:val="left"/>
        <w:rPr>
          <w:rFonts w:hint="default" w:ascii="仿宋_GB2312" w:hAnsi="宋体" w:eastAsia="仿宋_GB2312" w:cs="仿宋_GB2312"/>
          <w:sz w:val="32"/>
          <w:szCs w:val="32"/>
          <w:lang w:bidi="ar"/>
        </w:rPr>
      </w:pPr>
      <w:r>
        <w:rPr>
          <w:rFonts w:ascii="仿宋_GB2312" w:hAnsi="宋体" w:eastAsia="仿宋_GB2312" w:cs="仿宋_GB2312"/>
          <w:sz w:val="32"/>
          <w:szCs w:val="32"/>
          <w:lang w:bidi="ar"/>
        </w:rPr>
        <w:t>202</w:t>
      </w:r>
      <w:r>
        <w:rPr>
          <w:rFonts w:hint="default" w:ascii="仿宋_GB2312" w:hAnsi="宋体" w:eastAsia="仿宋_GB2312" w:cs="仿宋_GB2312"/>
          <w:sz w:val="32"/>
          <w:szCs w:val="32"/>
          <w:lang w:bidi="ar"/>
        </w:rPr>
        <w:t>2</w:t>
      </w:r>
      <w:r>
        <w:rPr>
          <w:rFonts w:ascii="仿宋_GB2312" w:hAnsi="宋体" w:eastAsia="仿宋_GB2312" w:cs="仿宋_GB2312"/>
          <w:sz w:val="32"/>
          <w:szCs w:val="32"/>
          <w:lang w:bidi="ar"/>
        </w:rPr>
        <w:t>年不涉及</w:t>
      </w:r>
      <w:r>
        <w:rPr>
          <w:rFonts w:hint="eastAsia" w:ascii="仿宋_GB2312" w:hAnsi="宋体" w:eastAsia="仿宋_GB2312" w:cs="仿宋_GB2312"/>
          <w:sz w:val="32"/>
          <w:szCs w:val="32"/>
          <w:lang w:eastAsia="zh-CN" w:bidi="ar"/>
        </w:rPr>
        <w:t>特定目标类</w:t>
      </w:r>
      <w:r>
        <w:rPr>
          <w:rFonts w:ascii="仿宋_GB2312" w:hAnsi="宋体" w:eastAsia="仿宋_GB2312" w:cs="仿宋_GB2312"/>
          <w:sz w:val="32"/>
          <w:szCs w:val="32"/>
          <w:lang w:bidi="ar"/>
        </w:rPr>
        <w:t>民生项目和重点支出项目。因此本单位无绩效自评及部门评价。</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ascii="仿宋_GB2312" w:eastAsia="仿宋_GB2312"/>
          <w:kern w:val="0"/>
          <w:sz w:val="32"/>
        </w:rPr>
      </w:pPr>
      <w:r>
        <w:rPr>
          <w:rFonts w:ascii="仿宋_GB2312" w:hAnsi="仿宋_GB2312" w:eastAsia="仿宋_GB2312" w:cs="仿宋_GB2312"/>
          <w:b/>
          <w:sz w:val="52"/>
          <w:szCs w:val="52"/>
        </w:rPr>
        <w:t>第四部分 沈阳市浑南区高坎中心小学2022年度决算表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numPr>
          <w:ilvl w:val="0"/>
          <w:numId w:val="1"/>
        </w:numPr>
        <w:jc w:val="center"/>
        <w:rPr>
          <w:rFonts w:hint="default" w:ascii="宋体" w:hAnsi="宋体"/>
          <w:b/>
          <w:sz w:val="52"/>
          <w:szCs w:val="52"/>
        </w:rPr>
      </w:pPr>
      <w:r>
        <w:rPr>
          <w:rFonts w:ascii="宋体" w:hAnsi="宋体"/>
          <w:b/>
          <w:sz w:val="52"/>
          <w:szCs w:val="52"/>
        </w:rPr>
        <w:t xml:space="preserve">  附件</w:t>
      </w: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4098A"/>
    <w:rsid w:val="00060165"/>
    <w:rsid w:val="000A3C16"/>
    <w:rsid w:val="000A53B9"/>
    <w:rsid w:val="000B596F"/>
    <w:rsid w:val="00100607"/>
    <w:rsid w:val="00110F15"/>
    <w:rsid w:val="0012544A"/>
    <w:rsid w:val="001309A3"/>
    <w:rsid w:val="001D0B4A"/>
    <w:rsid w:val="002B140F"/>
    <w:rsid w:val="002C26A9"/>
    <w:rsid w:val="00320394"/>
    <w:rsid w:val="00342E31"/>
    <w:rsid w:val="0038444A"/>
    <w:rsid w:val="00387684"/>
    <w:rsid w:val="003B53BD"/>
    <w:rsid w:val="003D085C"/>
    <w:rsid w:val="004132CD"/>
    <w:rsid w:val="0044142C"/>
    <w:rsid w:val="0046169E"/>
    <w:rsid w:val="00485722"/>
    <w:rsid w:val="004B5B4D"/>
    <w:rsid w:val="00500BDB"/>
    <w:rsid w:val="00505889"/>
    <w:rsid w:val="00552CFE"/>
    <w:rsid w:val="005812D3"/>
    <w:rsid w:val="005814A4"/>
    <w:rsid w:val="00585BB5"/>
    <w:rsid w:val="00590A8D"/>
    <w:rsid w:val="005C4DCE"/>
    <w:rsid w:val="00662059"/>
    <w:rsid w:val="00753B9D"/>
    <w:rsid w:val="00756329"/>
    <w:rsid w:val="007A3C7D"/>
    <w:rsid w:val="007A7AAD"/>
    <w:rsid w:val="007B3A01"/>
    <w:rsid w:val="007C1AEE"/>
    <w:rsid w:val="007F77B9"/>
    <w:rsid w:val="008040A1"/>
    <w:rsid w:val="008A27DD"/>
    <w:rsid w:val="008F1877"/>
    <w:rsid w:val="008F48E8"/>
    <w:rsid w:val="009242DD"/>
    <w:rsid w:val="009336DF"/>
    <w:rsid w:val="00954778"/>
    <w:rsid w:val="009630BF"/>
    <w:rsid w:val="00995AFC"/>
    <w:rsid w:val="009C74BF"/>
    <w:rsid w:val="00A14BBA"/>
    <w:rsid w:val="00A17144"/>
    <w:rsid w:val="00A5357A"/>
    <w:rsid w:val="00A57A14"/>
    <w:rsid w:val="00AC4E4D"/>
    <w:rsid w:val="00AD3EF2"/>
    <w:rsid w:val="00B222A1"/>
    <w:rsid w:val="00B34A1C"/>
    <w:rsid w:val="00B5412E"/>
    <w:rsid w:val="00B54181"/>
    <w:rsid w:val="00BC09C4"/>
    <w:rsid w:val="00C54644"/>
    <w:rsid w:val="00CF3A72"/>
    <w:rsid w:val="00D1364F"/>
    <w:rsid w:val="00D271D6"/>
    <w:rsid w:val="00D50F0C"/>
    <w:rsid w:val="00D52F30"/>
    <w:rsid w:val="00DC3915"/>
    <w:rsid w:val="00E4305D"/>
    <w:rsid w:val="00ED13D2"/>
    <w:rsid w:val="00EF7C54"/>
    <w:rsid w:val="00F16B2B"/>
    <w:rsid w:val="00F67249"/>
    <w:rsid w:val="00F724E9"/>
    <w:rsid w:val="01622E76"/>
    <w:rsid w:val="082C6248"/>
    <w:rsid w:val="09C4782E"/>
    <w:rsid w:val="0ECB7368"/>
    <w:rsid w:val="0FD91C07"/>
    <w:rsid w:val="11612EA5"/>
    <w:rsid w:val="12CC5588"/>
    <w:rsid w:val="131E2240"/>
    <w:rsid w:val="1B9703C5"/>
    <w:rsid w:val="1C635C29"/>
    <w:rsid w:val="1C6537BA"/>
    <w:rsid w:val="286C4199"/>
    <w:rsid w:val="28977847"/>
    <w:rsid w:val="2A3D2189"/>
    <w:rsid w:val="2E4F6256"/>
    <w:rsid w:val="36230505"/>
    <w:rsid w:val="3BA207ED"/>
    <w:rsid w:val="43ED4466"/>
    <w:rsid w:val="46CA2860"/>
    <w:rsid w:val="474C6DD1"/>
    <w:rsid w:val="4F776C44"/>
    <w:rsid w:val="54F6469B"/>
    <w:rsid w:val="59C52B8D"/>
    <w:rsid w:val="5AE973A2"/>
    <w:rsid w:val="5B697371"/>
    <w:rsid w:val="67277FC8"/>
    <w:rsid w:val="673C6F2C"/>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字符"/>
    <w:basedOn w:val="5"/>
    <w:link w:val="3"/>
    <w:qFormat/>
    <w:uiPriority w:val="0"/>
    <w:rPr>
      <w:rFonts w:ascii="Times New Roman" w:hAnsi="Times New Roman" w:eastAsia="宋体"/>
      <w:kern w:val="2"/>
      <w:sz w:val="18"/>
      <w:szCs w:val="18"/>
    </w:rPr>
  </w:style>
  <w:style w:type="character" w:customStyle="1" w:styleId="8">
    <w:name w:val="页脚 字符"/>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13</Pages>
  <Words>4244</Words>
  <Characters>4656</Characters>
  <Lines>34</Lines>
  <Paragraphs>9</Paragraphs>
  <TotalTime>1</TotalTime>
  <ScaleCrop>false</ScaleCrop>
  <LinksUpToDate>false</LinksUpToDate>
  <CharactersWithSpaces>4691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2023-09-12T06:17:37Z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