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浑南区东陵路小学2022决算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浑南区东陵路小学概况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360" w:lineRule="auto"/>
        <w:ind w:firstLine="640" w:firstLineChars="200"/>
        <w:jc w:val="left"/>
        <w:rPr>
          <w:rStyle w:val="10"/>
          <w:rFonts w:hint="default" w:eastAsia="仿宋_GB2312" w:cs="宋体"/>
          <w:bCs/>
          <w:kern w:val="0"/>
          <w:sz w:val="32"/>
          <w:szCs w:val="32"/>
        </w:rPr>
      </w:pPr>
      <w:r>
        <w:rPr>
          <w:rStyle w:val="10"/>
          <w:rFonts w:eastAsia="仿宋_GB2312" w:cs="宋体"/>
          <w:bCs/>
          <w:kern w:val="0"/>
          <w:sz w:val="32"/>
          <w:szCs w:val="32"/>
        </w:rPr>
        <w:t>（一）组织教育教学、科学研究活动，保证教育教学质量。维护教职工利益，保障教职工合法权益，以教职工和学生的人生幸福和生命质量作为重点。</w:t>
      </w:r>
    </w:p>
    <w:p>
      <w:pPr>
        <w:spacing w:line="360" w:lineRule="auto"/>
        <w:ind w:firstLine="640" w:firstLineChars="200"/>
        <w:jc w:val="left"/>
        <w:rPr>
          <w:rStyle w:val="10"/>
          <w:rFonts w:hint="default" w:eastAsia="仿宋_GB2312" w:cs="宋体"/>
          <w:bCs/>
          <w:kern w:val="0"/>
          <w:sz w:val="32"/>
          <w:szCs w:val="32"/>
        </w:rPr>
      </w:pPr>
      <w:r>
        <w:rPr>
          <w:rStyle w:val="10"/>
          <w:rFonts w:eastAsia="仿宋_GB2312" w:cs="宋体"/>
          <w:bCs/>
          <w:kern w:val="0"/>
          <w:sz w:val="32"/>
          <w:szCs w:val="32"/>
        </w:rPr>
        <w:t>（二）制定学校发展规划，并抓好组织实施和落实情况。</w:t>
      </w:r>
    </w:p>
    <w:p>
      <w:pPr>
        <w:spacing w:line="360" w:lineRule="auto"/>
        <w:ind w:firstLine="640" w:firstLineChars="200"/>
        <w:jc w:val="left"/>
        <w:rPr>
          <w:rStyle w:val="10"/>
          <w:rFonts w:hint="default" w:eastAsia="仿宋_GB2312" w:cs="宋体"/>
          <w:bCs/>
          <w:kern w:val="0"/>
          <w:sz w:val="32"/>
          <w:szCs w:val="32"/>
        </w:rPr>
      </w:pPr>
      <w:r>
        <w:rPr>
          <w:rStyle w:val="10"/>
          <w:rFonts w:eastAsia="仿宋_GB2312" w:cs="宋体"/>
          <w:bCs/>
          <w:kern w:val="0"/>
          <w:sz w:val="32"/>
          <w:szCs w:val="32"/>
        </w:rPr>
        <w:t>（三）科学管理、合理使用学校的设施和经费，并积极筹措办学资金，改善办学条件。</w:t>
      </w:r>
    </w:p>
    <w:p>
      <w:pPr>
        <w:pStyle w:val="11"/>
        <w:spacing w:line="560" w:lineRule="atLeast"/>
        <w:ind w:firstLine="640"/>
        <w:rPr>
          <w:rStyle w:val="10"/>
          <w:rFonts w:ascii="黑体" w:eastAsia="黑体"/>
          <w:sz w:val="32"/>
          <w:szCs w:val="32"/>
        </w:rPr>
      </w:pPr>
      <w:r>
        <w:rPr>
          <w:rStyle w:val="10"/>
          <w:rFonts w:eastAsia="仿宋_GB2312" w:cs="宋体"/>
          <w:bCs/>
          <w:sz w:val="32"/>
          <w:szCs w:val="32"/>
        </w:rPr>
        <w:t>（四）依法接受各级教育行政部门的检查指导和人民群众的监督。</w:t>
      </w:r>
    </w:p>
    <w:p>
      <w:pPr>
        <w:shd w:val="clear"/>
        <w:ind w:left="359" w:leftChars="171" w:firstLine="313" w:firstLineChars="98"/>
        <w:rPr>
          <w:rStyle w:val="10"/>
          <w:rFonts w:hint="default" w:eastAsia="仿宋_GB2312" w:cs="宋体"/>
          <w:bCs/>
          <w:kern w:val="0"/>
          <w:sz w:val="32"/>
          <w:szCs w:val="32"/>
        </w:rPr>
      </w:pPr>
      <w:r>
        <w:rPr>
          <w:rStyle w:val="10"/>
          <w:rFonts w:eastAsia="仿宋_GB2312" w:cs="宋体"/>
          <w:bCs/>
          <w:kern w:val="0"/>
          <w:sz w:val="32"/>
          <w:szCs w:val="32"/>
        </w:rPr>
        <w:t>（五）财务管理方面：</w:t>
      </w:r>
    </w:p>
    <w:p>
      <w:pPr>
        <w:shd w:val="clear"/>
        <w:spacing w:line="400" w:lineRule="atLeast"/>
        <w:ind w:firstLine="627" w:firstLineChars="196"/>
        <w:jc w:val="left"/>
        <w:rPr>
          <w:rStyle w:val="10"/>
          <w:rFonts w:hint="default" w:eastAsia="仿宋_GB2312" w:cs="宋体"/>
          <w:bCs/>
          <w:kern w:val="0"/>
          <w:sz w:val="32"/>
          <w:szCs w:val="32"/>
        </w:rPr>
      </w:pPr>
      <w:r>
        <w:rPr>
          <w:rStyle w:val="10"/>
          <w:rFonts w:eastAsia="仿宋_GB2312" w:cs="宋体"/>
          <w:bCs/>
          <w:kern w:val="0"/>
          <w:sz w:val="32"/>
          <w:szCs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shd w:val="clear"/>
        <w:ind w:firstLine="560"/>
        <w:jc w:val="left"/>
        <w:rPr>
          <w:rStyle w:val="10"/>
          <w:rFonts w:hint="default" w:ascii="黑体" w:eastAsia="黑体"/>
          <w:sz w:val="32"/>
        </w:rPr>
      </w:pPr>
      <w:r>
        <w:rPr>
          <w:rStyle w:val="10"/>
          <w:rFonts w:eastAsia="仿宋_GB2312" w:cs="宋体"/>
          <w:bCs/>
          <w:kern w:val="0"/>
          <w:sz w:val="32"/>
          <w:szCs w:val="32"/>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hint="default" w:ascii="仿宋_GB2312" w:eastAsia="仿宋_GB2312"/>
          <w:sz w:val="32"/>
        </w:rPr>
      </w:pPr>
      <w:r>
        <w:rPr>
          <w:rFonts w:ascii="黑体" w:eastAsia="黑体"/>
          <w:sz w:val="32"/>
        </w:rPr>
        <w:t>二、决算单位构成</w:t>
      </w:r>
    </w:p>
    <w:p>
      <w:pPr>
        <w:spacing w:line="540" w:lineRule="exact"/>
        <w:ind w:firstLine="640" w:firstLineChars="200"/>
        <w:jc w:val="left"/>
        <w:rPr>
          <w:rFonts w:hint="default" w:ascii="仿宋_GB2312" w:hAnsi="宋体" w:eastAsia="仿宋_GB2312"/>
          <w:sz w:val="32"/>
          <w:szCs w:val="32"/>
        </w:rPr>
      </w:pPr>
      <w:r>
        <w:rPr>
          <w:rFonts w:ascii="仿宋_GB2312" w:hAnsi="宋体" w:eastAsia="仿宋_GB2312"/>
          <w:sz w:val="32"/>
          <w:szCs w:val="32"/>
        </w:rPr>
        <w:t>本单位是纳入浑南区教育局2022年度决算编制范围的二级预算单位，本单位无下设机构。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浑南区东陵路小学2022年决算情况说明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（一）收入总计806.01万元，包括：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1.财政拨款收入783.89万元，占收入总计的97.26%。其中：一般公共预算财政拨款收入783.89万元，政府性基金收入0万元,国有资本经营预算财政拨款收入0万元。</w:t>
      </w:r>
    </w:p>
    <w:p>
      <w:pPr>
        <w:pStyle w:val="6"/>
        <w:spacing w:line="560" w:lineRule="exact"/>
        <w:ind w:firstLine="660"/>
        <w:rPr>
          <w:rFonts w:hint="default" w:ascii="仿宋_GB2312" w:eastAsia="仿宋_GB2312"/>
          <w:sz w:val="32"/>
        </w:rPr>
      </w:pPr>
      <w:r>
        <w:rPr>
          <w:rFonts w:ascii="仿宋_GB2312" w:eastAsia="仿宋_GB2312"/>
          <w:sz w:val="32"/>
        </w:rPr>
        <w:t>2.其他收入15.21万元，占收入总计的1.89%。主要是绩效工资收入。</w:t>
      </w:r>
    </w:p>
    <w:p>
      <w:pPr>
        <w:pStyle w:val="6"/>
        <w:spacing w:line="560" w:lineRule="exact"/>
        <w:ind w:firstLine="660"/>
        <w:rPr>
          <w:rFonts w:hint="default" w:ascii="仿宋_GB2312" w:eastAsia="仿宋_GB2312"/>
          <w:sz w:val="32"/>
        </w:rPr>
      </w:pPr>
      <w:r>
        <w:rPr>
          <w:rFonts w:ascii="仿宋_GB2312" w:eastAsia="仿宋_GB2312"/>
          <w:sz w:val="32"/>
        </w:rPr>
        <w:t>3.上年结转和结余6.94万元，占收入总计的0.85%。主要是其他教育安排等。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与上年相比，今年收入增加160.2万元，增长24.8%，主要原因：</w:t>
      </w:r>
      <w:r>
        <w:rPr>
          <w:rFonts w:hint="default" w:ascii="仿宋_GB2312" w:eastAsia="仿宋_GB2312"/>
          <w:sz w:val="32"/>
        </w:rPr>
        <w:t xml:space="preserve"> </w:t>
      </w:r>
      <w:r>
        <w:rPr>
          <w:rFonts w:ascii="仿宋_GB2312" w:eastAsia="仿宋_GB2312"/>
          <w:sz w:val="32"/>
        </w:rPr>
        <w:t>一是人员经费增加;二是学生增加,生均经费增加.</w:t>
      </w:r>
    </w:p>
    <w:p>
      <w:pPr>
        <w:pStyle w:val="6"/>
        <w:spacing w:line="560" w:lineRule="exact"/>
        <w:ind w:firstLine="660"/>
        <w:rPr>
          <w:rFonts w:hint="default" w:ascii="楷体_GB2312" w:eastAsia="楷体_GB2312"/>
          <w:b/>
          <w:sz w:val="32"/>
        </w:rPr>
      </w:pPr>
      <w:r>
        <w:rPr>
          <w:rFonts w:ascii="楷体_GB2312" w:eastAsia="楷体_GB2312"/>
          <w:b/>
          <w:sz w:val="32"/>
        </w:rPr>
        <w:t>（二）支出总计799.1万元，包括：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1.基本支出721.68万元，占支出总计的90.31%。主要是为保障机构正常运转、完成日常工作任务而发生的各项支出，其中：</w:t>
      </w:r>
      <w:r>
        <w:rPr>
          <w:rFonts w:hint="default" w:ascii="仿宋_GB2312" w:eastAsia="仿宋_GB2312"/>
          <w:sz w:val="32"/>
        </w:rPr>
        <w:t xml:space="preserve"> </w:t>
      </w:r>
      <w:r>
        <w:rPr>
          <w:rFonts w:ascii="仿宋_GB2312" w:eastAsia="仿宋_GB2312"/>
          <w:sz w:val="32"/>
        </w:rPr>
        <w:t>教育支出616.38万元,社会保障和就业支出77.82万元,卫生健康支出27.48万元。</w:t>
      </w:r>
    </w:p>
    <w:p>
      <w:pPr>
        <w:pStyle w:val="6"/>
        <w:spacing w:line="560" w:lineRule="exact"/>
        <w:ind w:firstLine="660"/>
        <w:rPr>
          <w:rFonts w:hint="default" w:ascii="仿宋_GB2312" w:eastAsia="仿宋_GB2312"/>
          <w:sz w:val="32"/>
        </w:rPr>
      </w:pPr>
      <w:r>
        <w:rPr>
          <w:rFonts w:ascii="仿宋_GB2312" w:eastAsia="仿宋_GB2312"/>
          <w:sz w:val="32"/>
        </w:rPr>
        <w:t>2.项目支出77.42万元，占支出总计的9.69%。主要包括小学教育支出、学前教育支出、其他教育费附加安排的支出等业务支出。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与上年相比，今年支出增加154.99万元，增长24.06%，主要原因：人员经费支出增长；</w:t>
      </w:r>
      <w:r>
        <w:rPr>
          <w:rFonts w:hint="default" w:ascii="黑体" w:hAnsi="黑体" w:eastAsia="黑体" w:cs="黑体"/>
          <w:b/>
          <w:bCs/>
          <w:color w:val="FF0000"/>
          <w:sz w:val="32"/>
          <w:szCs w:val="32"/>
        </w:rPr>
        <w:t xml:space="preserve"> </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（三）年末结转和结余6.91万元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主要是非财政拨款等原因形成的结余。与上年相比，今年结转结余增加5.21万元，增长306.47%，主要原因：拨付的体育器材款未及时支付。</w:t>
      </w:r>
      <w:r>
        <w:rPr>
          <w:rFonts w:ascii="黑体" w:hAnsi="黑体" w:eastAsia="黑体" w:cs="黑体"/>
          <w:b/>
          <w:bCs/>
          <w:color w:val="FF0000"/>
          <w:sz w:val="32"/>
          <w:szCs w:val="32"/>
        </w:rPr>
        <w:t xml:space="preserve"> </w:t>
      </w:r>
    </w:p>
    <w:p>
      <w:pPr>
        <w:pStyle w:val="6"/>
        <w:spacing w:line="560" w:lineRule="exact"/>
        <w:ind w:firstLine="660"/>
        <w:rPr>
          <w:rFonts w:hint="default" w:ascii="楷体_GB2312" w:eastAsia="楷体_GB2312"/>
          <w:b/>
          <w:sz w:val="32"/>
        </w:rPr>
      </w:pPr>
      <w:r>
        <w:rPr>
          <w:rFonts w:ascii="黑体" w:eastAsia="黑体"/>
          <w:sz w:val="32"/>
        </w:rPr>
        <w:t>二、财政拨款收入支出决算情况说明</w:t>
      </w:r>
    </w:p>
    <w:p>
      <w:pPr>
        <w:pStyle w:val="6"/>
        <w:spacing w:line="560" w:lineRule="exact"/>
        <w:ind w:firstLine="660"/>
        <w:rPr>
          <w:rFonts w:hint="default" w:ascii="仿宋_GB2312" w:eastAsia="仿宋_GB2312"/>
          <w:sz w:val="32"/>
        </w:rPr>
      </w:pPr>
      <w:r>
        <w:rPr>
          <w:rFonts w:ascii="仿宋_GB2312" w:eastAsia="仿宋_GB2312"/>
          <w:sz w:val="32"/>
        </w:rPr>
        <w:t>2022年度财政拨款支出783.89万元，其中：基本支出721.68万元，项目支出62.21万元。与上年相比，财政拨款支出增加165.99万元，增长26.86%，主要原因：一是人员经费增加；二是教育支出增加。与年初预算相比，2022年度财政拨款支出完成年初预算的100%，其中：基本支出完成年初预算的100%，项目支出未安排年初预算。</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2022年度一般公共预算财政拨款支出783.89万元，按支出功能分类科目分，包括：教育支出678.59万元，占86.57%；社会保障和就业支出77.82万元，占9.93%；卫生健康支出27.48万元，占3.5%。</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1.教育支出678.59万元，具体包括：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（1）普通教育支出673.98万元，主要是学前教育、小学教育等支出，完成年初预算的164.34%，决算数大于年初预算数的原因主要一是教师增加，人员经费增加；二是学生数量增加，生均经费增加。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2.社会保障和就业支出77.82万元，具体包括：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行政事业单位养老支出，主要是事业单位离退休支出、机关事业单位基本养老保险缴费支出、机关事业单位职业年金缴费支出等支出，完成年初预算的88.16%，决算数小于于年初预算数的原因主要是事业单位离退休福利费未支出。</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r>
        <w:rPr>
          <w:rFonts w:ascii="黑体" w:hAnsi="黑体" w:eastAsia="黑体" w:cs="黑体"/>
          <w:b/>
          <w:color w:val="FF0000"/>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仿宋_GB2312" w:hAnsi="宋体" w:eastAsia="仿宋_GB2312"/>
          <w:sz w:val="32"/>
          <w:szCs w:val="32"/>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pPr>
        <w:spacing w:line="540" w:lineRule="exact"/>
        <w:ind w:firstLine="645"/>
        <w:rPr>
          <w:rFonts w:ascii="仿宋_GB2312" w:hAnsi="宋体" w:eastAsia="仿宋_GB2312"/>
          <w:sz w:val="32"/>
          <w:szCs w:val="32"/>
        </w:rPr>
      </w:pPr>
    </w:p>
    <w:p>
      <w:pPr>
        <w:spacing w:line="540" w:lineRule="exact"/>
        <w:ind w:firstLine="645"/>
        <w:rPr>
          <w:rFonts w:hint="default" w:ascii="仿宋_GB2312" w:hAnsi="宋体" w:eastAsia="仿宋_GB2312"/>
          <w:sz w:val="32"/>
          <w:szCs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573.34万元，其中：人员经费548.1２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asciiTheme="majorEastAsia" w:hAnsiTheme="majorEastAsia" w:eastAsiaTheme="majorEastAsia"/>
          <w:sz w:val="32"/>
        </w:rPr>
        <w:t>２５．２２万元</w:t>
      </w:r>
      <w:r>
        <w:rPr>
          <w:rFonts w:ascii="仿宋_GB2312" w:eastAsia="仿宋_GB2312"/>
          <w:sz w:val="32"/>
        </w:rPr>
        <w:t>，主要包括办公费、印刷费、手续费、水费、电费、邮电费、取暖费、物业费、差旅费、维修（护）费、租赁费、会议费、培训费、公务接待费、劳务费、委托业务费、工会经费、福利费、、其他交通费用、其他商品和服务支出、办公设备购置、专用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2022年度机关运行经费支出０万元，主要原因是浑南区东陵路小学属于事业单位，无机关运行经费。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ascii="仿宋_GB2312" w:hAnsi="宋体" w:eastAsia="仿宋_GB2312" w:cs="仿宋_GB2312"/>
          <w:sz w:val="32"/>
          <w:szCs w:val="32"/>
          <w:lang w:bidi="ar"/>
        </w:rPr>
      </w:pPr>
      <w:r>
        <w:rPr>
          <w:rFonts w:ascii="楷体_GB2312" w:eastAsia="楷体_GB2312"/>
          <w:b/>
          <w:sz w:val="32"/>
        </w:rPr>
        <w:t>（四）预算绩效管理工作开展情况。</w:t>
      </w:r>
    </w:p>
    <w:p>
      <w:pPr>
        <w:pStyle w:val="6"/>
        <w:spacing w:line="560" w:lineRule="exact"/>
        <w:ind w:firstLine="480" w:firstLineChars="150"/>
        <w:rPr>
          <w:rFonts w:ascii="仿宋_GB2312" w:eastAsia="仿宋_GB2312"/>
          <w:sz w:val="32"/>
        </w:rPr>
      </w:pPr>
      <w:r>
        <w:rPr>
          <w:rFonts w:ascii="仿宋_GB2312" w:eastAsia="仿宋_GB2312"/>
          <w:sz w:val="32"/>
        </w:rPr>
        <w:t>我单位2022年不涉及</w:t>
      </w:r>
      <w:r>
        <w:rPr>
          <w:rFonts w:hint="eastAsia" w:ascii="仿宋_GB2312" w:eastAsia="仿宋_GB2312"/>
          <w:sz w:val="32"/>
          <w:lang w:eastAsia="zh-CN"/>
        </w:rPr>
        <w:t>特定目标类</w:t>
      </w:r>
      <w:r>
        <w:rPr>
          <w:rFonts w:ascii="仿宋_GB2312" w:eastAsia="仿宋_GB2312"/>
          <w:sz w:val="32"/>
        </w:rPr>
        <w:t>民生项目和重点支出项目，因此本单位无绩效自评及部门评价。</w:t>
      </w:r>
    </w:p>
    <w:p>
      <w:pPr>
        <w:pStyle w:val="6"/>
        <w:spacing w:line="560" w:lineRule="exact"/>
        <w:ind w:firstLine="480" w:firstLineChars="150"/>
        <w:rPr>
          <w:rFonts w:hint="default" w:ascii="仿宋_GB2312" w:eastAsia="仿宋_GB2312"/>
          <w:sz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ascii="宋体" w:hAnsi="宋体"/>
          <w:b/>
          <w:sz w:val="52"/>
          <w:szCs w:val="52"/>
        </w:rPr>
        <w:t>浑南区东陵路小学</w:t>
      </w: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638E7"/>
    <w:rsid w:val="001D0B4A"/>
    <w:rsid w:val="001D0E13"/>
    <w:rsid w:val="002F5E23"/>
    <w:rsid w:val="00320394"/>
    <w:rsid w:val="00342E31"/>
    <w:rsid w:val="00343239"/>
    <w:rsid w:val="0038444A"/>
    <w:rsid w:val="00387684"/>
    <w:rsid w:val="003D0D15"/>
    <w:rsid w:val="0044142C"/>
    <w:rsid w:val="00463057"/>
    <w:rsid w:val="00485722"/>
    <w:rsid w:val="004D0947"/>
    <w:rsid w:val="00505889"/>
    <w:rsid w:val="005812D3"/>
    <w:rsid w:val="005814A4"/>
    <w:rsid w:val="00590A8D"/>
    <w:rsid w:val="005C4DCE"/>
    <w:rsid w:val="00753B9D"/>
    <w:rsid w:val="00756329"/>
    <w:rsid w:val="007705EB"/>
    <w:rsid w:val="007D528F"/>
    <w:rsid w:val="007F77B9"/>
    <w:rsid w:val="008040A1"/>
    <w:rsid w:val="008056BE"/>
    <w:rsid w:val="00891460"/>
    <w:rsid w:val="00954778"/>
    <w:rsid w:val="00A0265A"/>
    <w:rsid w:val="00A17144"/>
    <w:rsid w:val="00A5357A"/>
    <w:rsid w:val="00A57A14"/>
    <w:rsid w:val="00B54181"/>
    <w:rsid w:val="00BC09C4"/>
    <w:rsid w:val="00BE52B4"/>
    <w:rsid w:val="00D551E7"/>
    <w:rsid w:val="00DC3915"/>
    <w:rsid w:val="00E4305D"/>
    <w:rsid w:val="00F16B2B"/>
    <w:rsid w:val="00F40142"/>
    <w:rsid w:val="00F67249"/>
    <w:rsid w:val="00F724E9"/>
    <w:rsid w:val="00F956C3"/>
    <w:rsid w:val="01622E76"/>
    <w:rsid w:val="082C6248"/>
    <w:rsid w:val="09C4782E"/>
    <w:rsid w:val="0ECB7368"/>
    <w:rsid w:val="0FD91C07"/>
    <w:rsid w:val="11612EA5"/>
    <w:rsid w:val="12CC5588"/>
    <w:rsid w:val="131E2240"/>
    <w:rsid w:val="1B9703C5"/>
    <w:rsid w:val="1C635C29"/>
    <w:rsid w:val="1C6537BA"/>
    <w:rsid w:val="286C4199"/>
    <w:rsid w:val="28977847"/>
    <w:rsid w:val="2A3D2189"/>
    <w:rsid w:val="2B9B0BE6"/>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character" w:customStyle="1" w:styleId="10">
    <w:name w:val="NormalCharacter"/>
    <w:semiHidden/>
    <w:qFormat/>
    <w:uiPriority w:val="0"/>
  </w:style>
  <w:style w:type="paragraph" w:customStyle="1" w:styleId="11">
    <w:name w:val="UserStyle_3"/>
    <w:basedOn w:val="1"/>
    <w:qFormat/>
    <w:uiPriority w:val="0"/>
    <w:pPr>
      <w:widowControl/>
      <w:textAlignment w:val="baseline"/>
    </w:pPr>
    <w:rPr>
      <w:rFonts w:hint="default" w:ascii="宋体" w:hAns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3909</Words>
  <Characters>4194</Characters>
  <Lines>31</Lines>
  <Paragraphs>8</Paragraphs>
  <TotalTime>1</TotalTime>
  <ScaleCrop>false</ScaleCrop>
  <LinksUpToDate>false</LinksUpToDate>
  <CharactersWithSpaces>4231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2023-09-12T06:21:04Z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