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jc w:val="center"/>
        <w:rPr>
          <w:rFonts w:hint="eastAsia" w:ascii="宋体" w:hAnsi="宋体"/>
          <w:b/>
          <w:sz w:val="72"/>
          <w:szCs w:val="72"/>
          <w:lang w:val="en-US" w:eastAsia="zh-CN"/>
        </w:rPr>
      </w:pPr>
      <w:r>
        <w:rPr>
          <w:rFonts w:hint="eastAsia" w:ascii="宋体" w:hAnsi="宋体"/>
          <w:b/>
          <w:sz w:val="72"/>
          <w:szCs w:val="72"/>
          <w:lang w:val="en-US" w:eastAsia="zh-CN"/>
        </w:rPr>
        <w:t>辽宁省沈阳市</w:t>
      </w:r>
    </w:p>
    <w:p>
      <w:pPr>
        <w:pStyle w:val="6"/>
        <w:jc w:val="center"/>
        <w:rPr>
          <w:rFonts w:hint="eastAsia" w:ascii="宋体" w:hAnsi="宋体"/>
          <w:b/>
          <w:sz w:val="72"/>
          <w:szCs w:val="72"/>
          <w:lang w:val="en-US" w:eastAsia="zh-CN"/>
        </w:rPr>
      </w:pPr>
      <w:r>
        <w:rPr>
          <w:rFonts w:hint="eastAsia" w:ascii="宋体" w:hAnsi="宋体"/>
          <w:b/>
          <w:sz w:val="72"/>
          <w:szCs w:val="72"/>
          <w:lang w:val="en-US" w:eastAsia="zh-CN"/>
        </w:rPr>
        <w:t>浑南区教育局第三幼儿园</w:t>
      </w:r>
    </w:p>
    <w:p>
      <w:pPr>
        <w:pStyle w:val="6"/>
        <w:jc w:val="center"/>
        <w:rPr>
          <w:rFonts w:hint="default" w:ascii="仿宋_GB2312" w:eastAsia="仿宋_GB2312"/>
          <w:b/>
          <w:sz w:val="72"/>
          <w:szCs w:val="28"/>
        </w:rPr>
      </w:pPr>
      <w:r>
        <w:rPr>
          <w:rFonts w:hint="eastAsia" w:ascii="宋体" w:hAnsi="宋体"/>
          <w:b/>
          <w:sz w:val="72"/>
          <w:szCs w:val="72"/>
          <w:lang w:eastAsia="zh-CN"/>
        </w:rPr>
        <w:t>202</w:t>
      </w:r>
      <w:r>
        <w:rPr>
          <w:rFonts w:hint="eastAsia" w:ascii="宋体" w:hAnsi="宋体"/>
          <w:b/>
          <w:sz w:val="72"/>
          <w:szCs w:val="72"/>
          <w:lang w:val="en-US" w:eastAsia="zh-CN"/>
        </w:rPr>
        <w:t>2</w:t>
      </w:r>
      <w:r>
        <w:rPr>
          <w:rFonts w:hint="eastAsia" w:ascii="宋体" w:hAnsi="宋体"/>
          <w:b/>
          <w:sz w:val="72"/>
          <w:szCs w:val="72"/>
          <w:lang w:eastAsia="zh-CN"/>
        </w:rPr>
        <w:t>决算</w:t>
      </w:r>
      <w:r>
        <w:rPr>
          <w:rFonts w:hint="eastAsia"/>
          <w:b/>
          <w:sz w:val="72"/>
          <w:szCs w:val="72"/>
          <w:lang w:eastAsia="zh-CN"/>
        </w:rPr>
        <w:t>说明</w:t>
      </w: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numPr>
          <w:ilvl w:val="0"/>
          <w:numId w:val="1"/>
        </w:numPr>
        <w:spacing w:line="560" w:lineRule="exact"/>
        <w:jc w:val="center"/>
        <w:rPr>
          <w:rFonts w:hint="eastAsia"/>
          <w:b/>
          <w:sz w:val="36"/>
          <w:lang w:val="en-US" w:eastAsia="zh-CN"/>
        </w:rPr>
      </w:pPr>
      <w:r>
        <w:rPr>
          <w:rFonts w:hint="eastAsia"/>
          <w:b/>
          <w:sz w:val="36"/>
          <w:lang w:val="en-US" w:eastAsia="zh-CN"/>
        </w:rPr>
        <w:t>辽宁省教育局第三幼儿园概况</w:t>
      </w:r>
    </w:p>
    <w:p>
      <w:pPr>
        <w:pStyle w:val="6"/>
        <w:numPr>
          <w:ilvl w:val="0"/>
          <w:numId w:val="0"/>
        </w:numPr>
        <w:spacing w:line="560" w:lineRule="exact"/>
        <w:jc w:val="both"/>
        <w:rPr>
          <w:rFonts w:hint="default"/>
          <w:b/>
          <w:sz w:val="36"/>
          <w:lang w:val="en-US" w:eastAsia="zh-CN"/>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default" w:ascii="仿宋_GB2312" w:eastAsia="仿宋_GB2312"/>
          <w:sz w:val="32"/>
        </w:rPr>
      </w:pPr>
      <w:r>
        <w:rPr>
          <w:rFonts w:ascii="仿宋_GB2312" w:eastAsia="仿宋_GB2312"/>
          <w:sz w:val="32"/>
        </w:rPr>
        <w:t>（一）贯彻执行国家财税方针、政策和有关法律、法规、规章及省有关要求，拟订市财税规划、政策和改革方案并组织实施。分析预测经济形势，提出运用财税政策实施宏观调控和综合平衡社会财力的建议。拟订和执行市与区、县（市）、开发区及企业的分配政策，完善鼓励公益事业发展的财税政策。</w:t>
      </w:r>
    </w:p>
    <w:p>
      <w:pPr>
        <w:pStyle w:val="6"/>
        <w:spacing w:line="560" w:lineRule="exact"/>
        <w:ind w:firstLine="640"/>
        <w:rPr>
          <w:rFonts w:hint="default" w:ascii="仿宋_GB2312" w:eastAsia="仿宋_GB2312"/>
          <w:sz w:val="32"/>
        </w:rPr>
      </w:pPr>
      <w:r>
        <w:rPr>
          <w:rFonts w:ascii="仿宋_GB2312" w:eastAsia="仿宋_GB2312"/>
          <w:sz w:val="32"/>
        </w:rPr>
        <w:t>（二）起草本市财政、财务、会计管理的地方性法规和市政府规章草案，研究我市经济社会中的财税重大问题，围绕市委、市政府中心工作提出改进和完善政府管理、提高财政资金使用效益的建议。</w:t>
      </w:r>
    </w:p>
    <w:p>
      <w:pPr>
        <w:pStyle w:val="6"/>
        <w:numPr>
          <w:ilvl w:val="0"/>
          <w:numId w:val="2"/>
        </w:numPr>
        <w:spacing w:line="560" w:lineRule="exact"/>
        <w:ind w:left="-10" w:leftChars="0" w:firstLine="640" w:firstLineChars="0"/>
        <w:rPr>
          <w:rFonts w:ascii="黑体" w:eastAsia="黑体"/>
          <w:sz w:val="32"/>
        </w:rPr>
      </w:pPr>
      <w:r>
        <w:rPr>
          <w:rFonts w:ascii="黑体" w:eastAsia="黑体"/>
          <w:sz w:val="32"/>
        </w:rPr>
        <w:t>决算单位构成</w:t>
      </w:r>
    </w:p>
    <w:p>
      <w:pPr>
        <w:pStyle w:val="6"/>
        <w:spacing w:line="560" w:lineRule="exact"/>
        <w:ind w:firstLine="640"/>
        <w:rPr>
          <w:rFonts w:hint="eastAsia" w:ascii="仿宋_GB2312" w:eastAsia="仿宋_GB2312"/>
          <w:sz w:val="32"/>
          <w:lang w:eastAsia="zh-CN"/>
        </w:rPr>
      </w:pPr>
      <w:r>
        <w:rPr>
          <w:rFonts w:hint="eastAsia" w:ascii="仿宋_GB2312" w:hAnsi="仿宋_GB2312" w:eastAsia="仿宋_GB2312" w:cs="仿宋_GB2312"/>
          <w:b w:val="0"/>
          <w:bCs w:val="0"/>
          <w:color w:val="auto"/>
          <w:sz w:val="32"/>
          <w:szCs w:val="32"/>
          <w:lang w:eastAsia="zh-CN"/>
        </w:rPr>
        <w:t>沈阳市浑南区教育局第三幼儿园</w:t>
      </w:r>
      <w:r>
        <w:rPr>
          <w:rFonts w:hint="default" w:ascii="仿宋_GB2312" w:hAnsi="仿宋_GB2312" w:eastAsia="仿宋_GB2312" w:cs="仿宋_GB2312"/>
          <w:b w:val="0"/>
          <w:bCs w:val="0"/>
          <w:color w:val="auto"/>
          <w:sz w:val="32"/>
          <w:szCs w:val="32"/>
          <w:lang w:eastAsia="zh-CN"/>
        </w:rPr>
        <w:t>是纳入浑南区教育局2022年决算编制范围的二级预算单位,本单位无下设机构</w:t>
      </w:r>
      <w:r>
        <w:rPr>
          <w:rFonts w:hint="eastAsia" w:ascii="仿宋_GB2312" w:eastAsia="仿宋_GB2312"/>
          <w:sz w:val="32"/>
          <w:lang w:eastAsia="zh-CN"/>
        </w:rPr>
        <w:t>。</w:t>
      </w:r>
    </w:p>
    <w:p>
      <w:pPr>
        <w:pStyle w:val="6"/>
        <w:spacing w:line="560" w:lineRule="exact"/>
        <w:jc w:val="center"/>
        <w:rPr>
          <w:rFonts w:hint="default"/>
          <w:b/>
          <w:sz w:val="36"/>
        </w:rPr>
      </w:pPr>
    </w:p>
    <w:p>
      <w:pPr>
        <w:pStyle w:val="6"/>
        <w:numPr>
          <w:ilvl w:val="0"/>
          <w:numId w:val="1"/>
        </w:numPr>
        <w:spacing w:line="560" w:lineRule="exact"/>
        <w:ind w:left="0" w:leftChars="0" w:firstLine="0" w:firstLineChars="0"/>
        <w:jc w:val="center"/>
        <w:rPr>
          <w:rFonts w:hint="default"/>
          <w:b/>
          <w:sz w:val="36"/>
        </w:rPr>
      </w:pPr>
      <w:r>
        <w:rPr>
          <w:rFonts w:hint="eastAsia"/>
          <w:b/>
          <w:sz w:val="36"/>
          <w:lang w:val="en-US" w:eastAsia="zh-CN"/>
        </w:rPr>
        <w:t>沈阳市浑南区教育局第三幼儿园</w:t>
      </w:r>
      <w:r>
        <w:rPr>
          <w:b/>
          <w:sz w:val="36"/>
        </w:rPr>
        <w:t>202</w:t>
      </w:r>
      <w:r>
        <w:rPr>
          <w:rFonts w:hint="eastAsia"/>
          <w:b/>
          <w:sz w:val="36"/>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278.1</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278.1</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278.1</w:t>
      </w:r>
      <w:r>
        <w:rPr>
          <w:rFonts w:ascii="仿宋_GB2312" w:eastAsia="仿宋_GB2312"/>
          <w:sz w:val="32"/>
        </w:rPr>
        <w:t>万元，</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278.1</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w:t>
      </w:r>
      <w:r>
        <w:rPr>
          <w:rFonts w:hint="eastAsia" w:ascii="仿宋_GB2312" w:eastAsia="仿宋_GB2312"/>
          <w:sz w:val="32"/>
          <w:lang w:val="en-US" w:eastAsia="zh-CN"/>
        </w:rPr>
        <w:t>教育</w:t>
      </w:r>
      <w:r>
        <w:rPr>
          <w:rFonts w:ascii="仿宋_GB2312" w:eastAsia="仿宋_GB2312"/>
          <w:sz w:val="32"/>
        </w:rPr>
        <w:t>支出</w:t>
      </w:r>
      <w:r>
        <w:rPr>
          <w:rFonts w:hint="eastAsia" w:ascii="仿宋_GB2312" w:eastAsia="仿宋_GB2312"/>
          <w:sz w:val="32"/>
          <w:lang w:val="en-US" w:eastAsia="zh-CN"/>
        </w:rPr>
        <w:t>278.1</w:t>
      </w:r>
      <w:r>
        <w:rPr>
          <w:rFonts w:ascii="仿宋_GB2312" w:eastAsia="仿宋_GB2312"/>
          <w:sz w:val="32"/>
        </w:rPr>
        <w:t>万元，占支出总计的</w:t>
      </w:r>
      <w:r>
        <w:rPr>
          <w:rFonts w:hint="eastAsia" w:ascii="仿宋_GB2312" w:eastAsia="仿宋_GB2312"/>
          <w:sz w:val="32"/>
          <w:lang w:val="en-US" w:eastAsia="zh-CN"/>
        </w:rPr>
        <w:t>100</w:t>
      </w:r>
      <w:r>
        <w:rPr>
          <w:rFonts w:ascii="仿宋_GB2312" w:eastAsia="仿宋_GB2312"/>
          <w:sz w:val="32"/>
        </w:rPr>
        <w:t>%。主要是为保障机构正常运转、完成日常工作任务而发生的各项支出。</w:t>
      </w:r>
    </w:p>
    <w:p>
      <w:pPr>
        <w:pStyle w:val="6"/>
        <w:spacing w:line="560" w:lineRule="exact"/>
        <w:ind w:firstLine="660"/>
        <w:rPr>
          <w:rFonts w:ascii="楷体_GB2312" w:eastAsia="楷体_GB2312"/>
          <w:b/>
          <w:sz w:val="32"/>
        </w:rPr>
      </w:pPr>
      <w:r>
        <w:rPr>
          <w:rFonts w:ascii="楷体_GB2312" w:eastAsia="楷体_GB2312"/>
          <w:b/>
          <w:sz w:val="32"/>
        </w:rPr>
        <w:t>（三）年末结转和结</w:t>
      </w:r>
      <w:r>
        <w:rPr>
          <w:rFonts w:hint="eastAsia" w:ascii="楷体_GB2312" w:eastAsia="楷体_GB2312"/>
          <w:b/>
          <w:sz w:val="32"/>
          <w:lang w:val="en-US" w:eastAsia="zh-CN"/>
        </w:rPr>
        <w:t>余0</w:t>
      </w:r>
      <w:r>
        <w:rPr>
          <w:rFonts w:ascii="楷体_GB2312" w:eastAsia="楷体_GB2312"/>
          <w:b/>
          <w:sz w:val="32"/>
        </w:rPr>
        <w:t>万元</w:t>
      </w:r>
    </w:p>
    <w:p>
      <w:pPr>
        <w:pStyle w:val="6"/>
        <w:spacing w:line="560" w:lineRule="exact"/>
        <w:ind w:firstLine="660"/>
        <w:rPr>
          <w:rFonts w:hint="default" w:ascii="楷体_GB2312" w:eastAsia="楷体_GB2312"/>
          <w:b w:val="0"/>
          <w:bCs/>
          <w:sz w:val="32"/>
          <w:lang w:val="en-US" w:eastAsia="zh-CN"/>
        </w:rPr>
      </w:pPr>
      <w:r>
        <w:rPr>
          <w:rFonts w:hint="eastAsia" w:ascii="楷体_GB2312" w:eastAsia="楷体_GB2312"/>
          <w:b w:val="0"/>
          <w:bCs/>
          <w:sz w:val="32"/>
          <w:lang w:eastAsia="zh-CN"/>
        </w:rPr>
        <w:t>年末结转结余</w:t>
      </w:r>
      <w:r>
        <w:rPr>
          <w:rFonts w:hint="eastAsia" w:ascii="楷体_GB2312" w:eastAsia="楷体_GB2312"/>
          <w:b w:val="0"/>
          <w:bCs/>
          <w:sz w:val="32"/>
          <w:lang w:val="en-US" w:eastAsia="zh-CN"/>
        </w:rPr>
        <w:t>0万元，与上年持平。</w:t>
      </w:r>
    </w:p>
    <w:p>
      <w:pPr>
        <w:pStyle w:val="6"/>
        <w:spacing w:line="560" w:lineRule="exact"/>
        <w:ind w:firstLine="660"/>
        <w:rPr>
          <w:rFonts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eastAsia" w:ascii="仿宋_GB2312" w:eastAsia="仿宋_GB2312"/>
          <w:color w:val="FF0000"/>
          <w:sz w:val="32"/>
          <w:highlight w:val="none"/>
          <w:lang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278.1</w:t>
      </w:r>
      <w:r>
        <w:rPr>
          <w:rFonts w:ascii="仿宋_GB2312" w:eastAsia="仿宋_GB2312"/>
          <w:sz w:val="32"/>
        </w:rPr>
        <w:t>万元，其中：</w:t>
      </w:r>
      <w:r>
        <w:rPr>
          <w:rFonts w:hint="eastAsia" w:ascii="仿宋_GB2312" w:eastAsia="仿宋_GB2312"/>
          <w:sz w:val="32"/>
          <w:lang w:val="en-US" w:eastAsia="zh-CN"/>
        </w:rPr>
        <w:t>教育</w:t>
      </w:r>
      <w:r>
        <w:rPr>
          <w:rFonts w:ascii="仿宋_GB2312" w:eastAsia="仿宋_GB2312"/>
          <w:sz w:val="32"/>
        </w:rPr>
        <w:t>支出</w:t>
      </w:r>
      <w:r>
        <w:rPr>
          <w:rFonts w:hint="eastAsia" w:ascii="仿宋_GB2312" w:eastAsia="仿宋_GB2312"/>
          <w:sz w:val="32"/>
          <w:lang w:val="en-US" w:eastAsia="zh-CN"/>
        </w:rPr>
        <w:t>278.1</w:t>
      </w:r>
      <w:r>
        <w:rPr>
          <w:rFonts w:ascii="仿宋_GB2312" w:eastAsia="仿宋_GB2312"/>
          <w:sz w:val="32"/>
        </w:rPr>
        <w:t>万元，</w:t>
      </w:r>
      <w:r>
        <w:rPr>
          <w:rFonts w:ascii="仿宋_GB2312" w:eastAsia="仿宋_GB2312"/>
          <w:sz w:val="32"/>
          <w:highlight w:val="none"/>
        </w:rPr>
        <w:t>与上年相比，财政拨款支出增加</w:t>
      </w:r>
      <w:r>
        <w:rPr>
          <w:rFonts w:hint="eastAsia" w:ascii="仿宋_GB2312" w:eastAsia="仿宋_GB2312"/>
          <w:sz w:val="32"/>
          <w:highlight w:val="none"/>
          <w:lang w:val="en-US" w:eastAsia="zh-CN"/>
        </w:rPr>
        <w:t>106.2万元</w:t>
      </w:r>
      <w:r>
        <w:rPr>
          <w:rFonts w:ascii="仿宋_GB2312" w:eastAsia="仿宋_GB2312"/>
          <w:sz w:val="32"/>
          <w:highlight w:val="none"/>
        </w:rPr>
        <w:t>，</w:t>
      </w:r>
      <w:r>
        <w:rPr>
          <w:rFonts w:hint="eastAsia" w:ascii="仿宋_GB2312" w:eastAsia="仿宋_GB2312"/>
          <w:sz w:val="32"/>
          <w:highlight w:val="none"/>
          <w:lang w:val="en-US" w:eastAsia="zh-CN"/>
        </w:rPr>
        <w:t>与上年同比增加38.2%。</w:t>
      </w:r>
      <w:r>
        <w:rPr>
          <w:rFonts w:ascii="仿宋_GB2312" w:eastAsia="仿宋_GB2312"/>
          <w:sz w:val="32"/>
          <w:highlight w:val="none"/>
        </w:rPr>
        <w:t>主要原因：</w:t>
      </w:r>
      <w:r>
        <w:rPr>
          <w:rFonts w:ascii="黑体" w:eastAsia="黑体"/>
          <w:sz w:val="32"/>
          <w:highlight w:val="none"/>
        </w:rPr>
        <w:t>一是</w:t>
      </w:r>
      <w:r>
        <w:rPr>
          <w:rFonts w:hint="eastAsia" w:ascii="仿宋_GB2312" w:eastAsia="仿宋_GB2312"/>
          <w:sz w:val="32"/>
          <w:highlight w:val="none"/>
          <w:lang w:val="en-US" w:eastAsia="zh-CN"/>
        </w:rPr>
        <w:t>新建校支出增加</w:t>
      </w:r>
      <w:r>
        <w:rPr>
          <w:rFonts w:ascii="仿宋_GB2312" w:eastAsia="仿宋_GB2312"/>
          <w:sz w:val="32"/>
          <w:highlight w:val="none"/>
        </w:rPr>
        <w:t>；</w:t>
      </w:r>
      <w:r>
        <w:rPr>
          <w:rFonts w:ascii="黑体" w:eastAsia="黑体"/>
          <w:sz w:val="32"/>
          <w:highlight w:val="none"/>
        </w:rPr>
        <w:t>二是</w:t>
      </w:r>
      <w:r>
        <w:rPr>
          <w:rFonts w:hint="eastAsia" w:ascii="仿宋_GB2312" w:eastAsia="仿宋_GB2312"/>
          <w:sz w:val="32"/>
          <w:highlight w:val="none"/>
          <w:lang w:val="en-US" w:eastAsia="zh-CN"/>
        </w:rPr>
        <w:t>新成立人员的增加</w:t>
      </w:r>
      <w:r>
        <w:rPr>
          <w:rFonts w:ascii="仿宋_GB2312" w:eastAsia="仿宋_GB2312"/>
          <w:sz w:val="32"/>
          <w:highlight w:val="none"/>
        </w:rPr>
        <w:t>。</w:t>
      </w:r>
      <w:r>
        <w:rPr>
          <w:rFonts w:ascii="仿宋_GB2312" w:eastAsia="仿宋_GB2312"/>
          <w:color w:val="000000" w:themeColor="text1"/>
          <w:sz w:val="32"/>
          <w14:textFill>
            <w14:solidFill>
              <w14:schemeClr w14:val="tx1"/>
            </w14:solidFill>
          </w14:textFill>
        </w:rPr>
        <w:t>与年初预算相比，202</w:t>
      </w:r>
      <w:r>
        <w:rPr>
          <w:rFonts w:hint="eastAsia" w:ascii="仿宋_GB2312" w:eastAsia="仿宋_GB2312"/>
          <w:color w:val="000000" w:themeColor="text1"/>
          <w:sz w:val="32"/>
          <w:lang w:val="en-US" w:eastAsia="zh-CN"/>
          <w14:textFill>
            <w14:solidFill>
              <w14:schemeClr w14:val="tx1"/>
            </w14:solidFill>
          </w14:textFill>
        </w:rPr>
        <w:t>2</w:t>
      </w:r>
      <w:r>
        <w:rPr>
          <w:rFonts w:ascii="仿宋_GB2312" w:eastAsia="仿宋_GB2312"/>
          <w:color w:val="000000" w:themeColor="text1"/>
          <w:sz w:val="32"/>
          <w14:textFill>
            <w14:solidFill>
              <w14:schemeClr w14:val="tx1"/>
            </w14:solidFill>
          </w14:textFill>
        </w:rPr>
        <w:t>年度财政拨款支出完成年初预算的</w:t>
      </w:r>
      <w:r>
        <w:rPr>
          <w:rFonts w:hint="eastAsia" w:ascii="仿宋_GB2312" w:eastAsia="仿宋_GB2312"/>
          <w:color w:val="000000" w:themeColor="text1"/>
          <w:sz w:val="32"/>
          <w:lang w:val="en-US" w:eastAsia="zh-CN"/>
          <w14:textFill>
            <w14:solidFill>
              <w14:schemeClr w14:val="tx1"/>
            </w14:solidFill>
          </w14:textFill>
        </w:rPr>
        <w:t>100</w:t>
      </w:r>
      <w:r>
        <w:rPr>
          <w:rFonts w:ascii="仿宋_GB2312" w:eastAsia="仿宋_GB2312"/>
          <w:color w:val="000000" w:themeColor="text1"/>
          <w:sz w:val="32"/>
          <w14:textFill>
            <w14:solidFill>
              <w14:schemeClr w14:val="tx1"/>
            </w14:solidFill>
          </w14:textFill>
        </w:rPr>
        <w:t>%，其中：基本支出完成年初预算的</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%，项目支出完成年初预算的</w:t>
      </w:r>
      <w:r>
        <w:rPr>
          <w:rFonts w:hint="eastAsia" w:ascii="仿宋_GB2312" w:eastAsia="仿宋_GB2312"/>
          <w:color w:val="000000" w:themeColor="text1"/>
          <w:sz w:val="32"/>
          <w:lang w:val="en-US" w:eastAsia="zh-CN"/>
          <w14:textFill>
            <w14:solidFill>
              <w14:schemeClr w14:val="tx1"/>
            </w14:solidFill>
          </w14:textFill>
        </w:rPr>
        <w:t>10</w:t>
      </w:r>
      <w:bookmarkStart w:id="0" w:name="_GoBack"/>
      <w:bookmarkEnd w:id="0"/>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w:t>
      </w:r>
      <w:r>
        <w:rPr>
          <w:rFonts w:hint="eastAsia" w:ascii="仿宋_GB2312" w:eastAsia="仿宋_GB2312"/>
          <w:color w:val="000000" w:themeColor="text1"/>
          <w:sz w:val="32"/>
          <w:lang w:eastAsia="zh-CN"/>
          <w14:textFill>
            <w14:solidFill>
              <w14:schemeClr w14:val="tx1"/>
            </w14:solidFill>
          </w14:textFill>
        </w:rPr>
        <w:t>。</w:t>
      </w:r>
    </w:p>
    <w:p>
      <w:pPr>
        <w:numPr>
          <w:ilvl w:val="0"/>
          <w:numId w:val="0"/>
        </w:numPr>
        <w:spacing w:line="560" w:lineRule="exact"/>
        <w:ind w:firstLine="321" w:firstLineChars="100"/>
        <w:rPr>
          <w:rFonts w:hint="default" w:ascii="仿宋_GB2312" w:hAnsi="宋体" w:eastAsia="仿宋_GB2312"/>
          <w:sz w:val="32"/>
          <w:szCs w:val="32"/>
        </w:rPr>
      </w:pPr>
      <w:r>
        <w:rPr>
          <w:rFonts w:ascii="楷体_GB2312" w:hAnsi="宋体" w:eastAsia="楷体_GB2312"/>
          <w:b/>
          <w:sz w:val="32"/>
          <w:szCs w:val="32"/>
        </w:rPr>
        <w:t>（二）一般公共预算财政拨款支出情况。</w:t>
      </w:r>
    </w:p>
    <w:p>
      <w:pPr>
        <w:numPr>
          <w:ilvl w:val="0"/>
          <w:numId w:val="0"/>
        </w:numPr>
        <w:spacing w:line="560" w:lineRule="exact"/>
        <w:ind w:firstLine="960" w:firstLineChars="3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278.1</w:t>
      </w:r>
      <w:r>
        <w:rPr>
          <w:rFonts w:ascii="仿宋_GB2312" w:hAnsi="宋体" w:eastAsia="仿宋_GB2312"/>
          <w:sz w:val="32"/>
          <w:szCs w:val="32"/>
        </w:rPr>
        <w:t>万元，按支出功能分类科目分，包括：</w:t>
      </w:r>
      <w:r>
        <w:rPr>
          <w:rFonts w:hint="eastAsia" w:ascii="仿宋_GB2312" w:hAnsi="宋体" w:eastAsia="仿宋_GB2312"/>
          <w:sz w:val="32"/>
          <w:szCs w:val="32"/>
          <w:lang w:val="en-US" w:eastAsia="zh-CN"/>
        </w:rPr>
        <w:t>教育</w:t>
      </w:r>
      <w:r>
        <w:rPr>
          <w:rFonts w:ascii="仿宋_GB2312" w:hAnsi="宋体" w:eastAsia="仿宋_GB2312"/>
          <w:sz w:val="32"/>
          <w:szCs w:val="32"/>
        </w:rPr>
        <w:t>支出</w:t>
      </w:r>
      <w:r>
        <w:rPr>
          <w:rFonts w:hint="eastAsia" w:ascii="仿宋_GB2312" w:hAnsi="宋体" w:eastAsia="仿宋_GB2312"/>
          <w:sz w:val="32"/>
          <w:szCs w:val="32"/>
          <w:lang w:val="en-US" w:eastAsia="zh-CN"/>
        </w:rPr>
        <w:t>278.1</w:t>
      </w:r>
      <w:r>
        <w:rPr>
          <w:rFonts w:ascii="仿宋_GB2312" w:hAnsi="宋体" w:eastAsia="仿宋_GB2312"/>
          <w:sz w:val="32"/>
          <w:szCs w:val="32"/>
        </w:rPr>
        <w:t>万元</w:t>
      </w:r>
      <w:r>
        <w:rPr>
          <w:rFonts w:hint="eastAsia" w:ascii="仿宋_GB2312" w:hAnsi="宋体" w:eastAsia="仿宋_GB2312"/>
          <w:sz w:val="32"/>
          <w:szCs w:val="32"/>
          <w:lang w:eastAsia="zh-CN"/>
        </w:rPr>
        <w:t>，占</w:t>
      </w:r>
      <w:r>
        <w:rPr>
          <w:rFonts w:hint="eastAsia" w:ascii="仿宋_GB2312" w:hAnsi="宋体" w:eastAsia="仿宋_GB2312"/>
          <w:sz w:val="32"/>
          <w:szCs w:val="32"/>
          <w:lang w:val="en-US" w:eastAsia="zh-CN"/>
        </w:rPr>
        <w:t>100%</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教育</w:t>
      </w:r>
      <w:r>
        <w:rPr>
          <w:rFonts w:ascii="仿宋_GB2312" w:hAnsi="宋体" w:eastAsia="仿宋_GB2312"/>
          <w:sz w:val="32"/>
          <w:szCs w:val="32"/>
        </w:rPr>
        <w:t>支出</w:t>
      </w:r>
      <w:r>
        <w:rPr>
          <w:rFonts w:hint="eastAsia" w:ascii="仿宋_GB2312" w:hAnsi="宋体" w:eastAsia="仿宋_GB2312"/>
          <w:sz w:val="32"/>
          <w:szCs w:val="32"/>
          <w:lang w:val="en-US" w:eastAsia="zh-CN"/>
        </w:rPr>
        <w:t>278.1</w:t>
      </w:r>
      <w:r>
        <w:rPr>
          <w:rFonts w:ascii="仿宋_GB2312" w:hAnsi="宋体" w:eastAsia="仿宋_GB2312"/>
          <w:sz w:val="32"/>
          <w:szCs w:val="32"/>
        </w:rPr>
        <w:t>万元，具体包括：</w:t>
      </w:r>
    </w:p>
    <w:p>
      <w:pPr>
        <w:spacing w:line="560" w:lineRule="exact"/>
        <w:ind w:firstLine="660"/>
        <w:rPr>
          <w:rFonts w:hint="eastAsia" w:ascii="仿宋_GB2312" w:hAnsi="宋体" w:eastAsia="仿宋_GB2312"/>
          <w:color w:val="000000" w:themeColor="text1"/>
          <w:sz w:val="32"/>
          <w:szCs w:val="32"/>
          <w:lang w:eastAsia="zh-CN"/>
          <w14:textFill>
            <w14:solidFill>
              <w14:schemeClr w14:val="tx1"/>
            </w14:solidFill>
          </w14:textFill>
        </w:rPr>
      </w:pPr>
      <w:r>
        <w:rPr>
          <w:rFonts w:ascii="仿宋_GB2312" w:hAnsi="宋体" w:eastAsia="仿宋_GB2312"/>
          <w:sz w:val="32"/>
          <w:szCs w:val="32"/>
        </w:rPr>
        <w:t>（1）</w:t>
      </w:r>
      <w:r>
        <w:rPr>
          <w:rFonts w:hint="eastAsia" w:ascii="仿宋_GB2312" w:hAnsi="宋体" w:eastAsia="仿宋_GB2312"/>
          <w:sz w:val="32"/>
          <w:szCs w:val="32"/>
          <w:lang w:val="en-US" w:eastAsia="zh-CN"/>
        </w:rPr>
        <w:t>其他教育费附加安排的</w:t>
      </w:r>
      <w:r>
        <w:rPr>
          <w:rFonts w:ascii="仿宋_GB2312" w:hAnsi="宋体" w:eastAsia="仿宋_GB2312"/>
          <w:sz w:val="32"/>
          <w:szCs w:val="32"/>
        </w:rPr>
        <w:t>支出</w:t>
      </w:r>
      <w:r>
        <w:rPr>
          <w:rFonts w:hint="eastAsia" w:ascii="仿宋_GB2312" w:hAnsi="宋体" w:eastAsia="仿宋_GB2312"/>
          <w:sz w:val="32"/>
          <w:szCs w:val="32"/>
          <w:lang w:val="en-US" w:eastAsia="zh-CN"/>
        </w:rPr>
        <w:t>30.79</w:t>
      </w:r>
      <w:r>
        <w:rPr>
          <w:rFonts w:ascii="仿宋_GB2312" w:hAnsi="宋体" w:eastAsia="仿宋_GB2312"/>
          <w:sz w:val="32"/>
          <w:szCs w:val="32"/>
        </w:rPr>
        <w:t>万元。</w:t>
      </w:r>
      <w:r>
        <w:rPr>
          <w:rFonts w:hint="eastAsia" w:ascii="仿宋_GB2312" w:eastAsia="仿宋_GB2312"/>
          <w:sz w:val="32"/>
          <w:szCs w:val="32"/>
        </w:rPr>
        <w:t>主要用于幼儿园办公费、维修费、水电费等商品服务支出</w:t>
      </w:r>
      <w:r>
        <w:rPr>
          <w:rFonts w:hint="eastAsia" w:ascii="仿宋_GB2312" w:eastAsia="仿宋_GB2312"/>
          <w:sz w:val="32"/>
          <w:szCs w:val="32"/>
          <w:lang w:val="en-US" w:eastAsia="zh-CN"/>
        </w:rPr>
        <w:t>30.79万元</w:t>
      </w:r>
      <w:r>
        <w:rPr>
          <w:rFonts w:ascii="仿宋_GB2312" w:hAnsi="宋体" w:eastAsia="仿宋_GB2312"/>
          <w:color w:val="000000" w:themeColor="text1"/>
          <w:sz w:val="32"/>
          <w:szCs w:val="32"/>
          <w14:textFill>
            <w14:solidFill>
              <w14:schemeClr w14:val="tx1"/>
            </w14:solidFill>
          </w14:textFill>
        </w:rPr>
        <w:t>，完成年初预算的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100</w:t>
      </w:r>
      <w:r>
        <w:rPr>
          <w:rFonts w:ascii="仿宋_GB2312" w:hAnsi="宋体" w:eastAsia="仿宋_GB2312"/>
          <w:color w:val="000000" w:themeColor="text1"/>
          <w:sz w:val="32"/>
          <w:szCs w:val="32"/>
          <w14:textFill>
            <w14:solidFill>
              <w14:schemeClr w14:val="tx1"/>
            </w14:solidFill>
          </w14:textFill>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000000" w:themeColor="text1"/>
          <w:sz w:val="32"/>
          <w:szCs w:val="32"/>
          <w:lang w:eastAsia="zh-CN"/>
          <w14:textFill>
            <w14:solidFill>
              <w14:schemeClr w14:val="tx1"/>
            </w14:solidFill>
          </w14:textFill>
        </w:rPr>
        <w:t>。</w:t>
      </w:r>
    </w:p>
    <w:p>
      <w:pPr>
        <w:spacing w:line="560" w:lineRule="exact"/>
        <w:ind w:firstLine="660"/>
        <w:rPr>
          <w:rFonts w:hint="default" w:ascii="仿宋_GB2312" w:hAnsi="宋体" w:eastAsia="仿宋_GB2312"/>
          <w:sz w:val="32"/>
          <w:szCs w:val="32"/>
        </w:rPr>
      </w:pPr>
      <w:r>
        <w:rPr>
          <w:rFonts w:ascii="仿宋_GB2312" w:hAnsi="宋体" w:eastAsia="仿宋_GB2312"/>
          <w:color w:val="000000" w:themeColor="text1"/>
          <w:sz w:val="32"/>
          <w:szCs w:val="32"/>
          <w14:textFill>
            <w14:solidFill>
              <w14:schemeClr w14:val="tx1"/>
            </w14:solidFill>
          </w14:textFill>
        </w:rPr>
        <w:t>（2）</w:t>
      </w:r>
      <w:r>
        <w:rPr>
          <w:rFonts w:hint="eastAsia" w:ascii="仿宋_GB2312" w:hAnsi="宋体" w:eastAsia="仿宋_GB2312"/>
          <w:color w:val="000000" w:themeColor="text1"/>
          <w:sz w:val="32"/>
          <w:szCs w:val="32"/>
          <w:lang w:val="en-US" w:eastAsia="zh-CN"/>
          <w14:textFill>
            <w14:solidFill>
              <w14:schemeClr w14:val="tx1"/>
            </w14:solidFill>
          </w14:textFill>
        </w:rPr>
        <w:t>学前教育247.31万元。主要用于幼儿园的资本性</w:t>
      </w:r>
      <w:r>
        <w:rPr>
          <w:rFonts w:ascii="仿宋_GB2312" w:hAnsi="宋体" w:eastAsia="仿宋_GB2312"/>
          <w:color w:val="000000" w:themeColor="text1"/>
          <w:sz w:val="32"/>
          <w:szCs w:val="32"/>
          <w14:textFill>
            <w14:solidFill>
              <w14:schemeClr w14:val="tx1"/>
            </w14:solidFill>
          </w14:textFill>
        </w:rPr>
        <w:t>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100</w:t>
      </w:r>
      <w:r>
        <w:rPr>
          <w:rFonts w:ascii="仿宋_GB2312" w:hAnsi="宋体" w:eastAsia="仿宋_GB2312"/>
          <w:color w:val="000000" w:themeColor="text1"/>
          <w:sz w:val="32"/>
          <w:szCs w:val="32"/>
          <w14:textFill>
            <w14:solidFill>
              <w14:schemeClr w14:val="tx1"/>
            </w14:solidFill>
          </w14:textFill>
        </w:rPr>
        <w:t>%</w:t>
      </w:r>
      <w:r>
        <w:rPr>
          <w:rFonts w:hint="eastAsia" w:ascii="仿宋_GB2312" w:eastAsia="仿宋_GB2312"/>
          <w:sz w:val="32"/>
          <w:szCs w:val="32"/>
          <w:lang w:val="en-US" w:eastAsia="zh-CN"/>
        </w:rPr>
        <w:t>，决算数等于年初预算数的原因是完全按照预算执行。</w:t>
      </w:r>
    </w:p>
    <w:p>
      <w:pPr>
        <w:numPr>
          <w:ilvl w:val="0"/>
          <w:numId w:val="0"/>
        </w:numPr>
        <w:spacing w:line="540" w:lineRule="exact"/>
        <w:ind w:firstLine="643" w:firstLineChars="200"/>
        <w:outlineLvl w:val="2"/>
        <w:rPr>
          <w:rFonts w:ascii="楷体_GB2312" w:hAnsi="宋体" w:eastAsia="楷体_GB2312"/>
          <w:b/>
          <w:sz w:val="32"/>
          <w:szCs w:val="32"/>
        </w:rPr>
      </w:pPr>
      <w:r>
        <w:rPr>
          <w:rFonts w:ascii="楷体_GB2312" w:hAnsi="宋体" w:eastAsia="楷体_GB2312"/>
          <w:b/>
          <w:sz w:val="32"/>
          <w:szCs w:val="32"/>
        </w:rPr>
        <w:t>（三）政府性基金预算财政拨款支出情况。</w:t>
      </w:r>
    </w:p>
    <w:p>
      <w:pPr>
        <w:numPr>
          <w:ilvl w:val="0"/>
          <w:numId w:val="0"/>
        </w:numPr>
        <w:spacing w:line="540" w:lineRule="exact"/>
        <w:ind w:firstLine="1280" w:firstLineChars="400"/>
        <w:outlineLvl w:val="2"/>
        <w:rPr>
          <w:rFonts w:hint="default" w:ascii="黑体" w:hAnsi="黑体" w:eastAsia="楷体_GB2312" w:cs="黑体"/>
          <w:b w:val="0"/>
          <w:bCs/>
          <w:color w:val="FF0000"/>
          <w:sz w:val="32"/>
          <w:szCs w:val="32"/>
          <w:lang w:val="en-US" w:eastAsia="zh-CN"/>
        </w:rPr>
      </w:pPr>
      <w:r>
        <w:rPr>
          <w:rFonts w:hint="eastAsia" w:ascii="楷体_GB2312" w:hAnsi="宋体" w:eastAsia="楷体_GB2312"/>
          <w:b w:val="0"/>
          <w:bCs/>
          <w:sz w:val="32"/>
          <w:szCs w:val="32"/>
          <w:lang w:val="en-US" w:eastAsia="zh-CN"/>
        </w:rPr>
        <w:t>本年未发生此项资金</w:t>
      </w:r>
    </w:p>
    <w:p>
      <w:pPr>
        <w:numPr>
          <w:ilvl w:val="0"/>
          <w:numId w:val="3"/>
        </w:num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40" w:lineRule="exact"/>
        <w:ind w:firstLine="1280" w:firstLineChars="400"/>
        <w:outlineLvl w:val="2"/>
        <w:rPr>
          <w:rFonts w:hint="default" w:ascii="黑体" w:hAnsi="黑体" w:eastAsia="楷体_GB2312" w:cs="黑体"/>
          <w:b w:val="0"/>
          <w:bCs/>
          <w:color w:val="FF0000"/>
          <w:sz w:val="32"/>
          <w:szCs w:val="32"/>
          <w:lang w:val="en-US" w:eastAsia="zh-CN"/>
        </w:rPr>
      </w:pPr>
      <w:r>
        <w:rPr>
          <w:rFonts w:hint="eastAsia" w:ascii="楷体_GB2312" w:hAnsi="宋体" w:eastAsia="楷体_GB2312"/>
          <w:b w:val="0"/>
          <w:bCs/>
          <w:sz w:val="32"/>
          <w:szCs w:val="32"/>
          <w:lang w:val="en-US" w:eastAsia="zh-CN"/>
        </w:rPr>
        <w:t>本年未发生此项资金</w:t>
      </w:r>
    </w:p>
    <w:p>
      <w:pPr>
        <w:pStyle w:val="6"/>
        <w:numPr>
          <w:ilvl w:val="0"/>
          <w:numId w:val="2"/>
        </w:numPr>
        <w:spacing w:line="560" w:lineRule="exact"/>
        <w:ind w:left="-10" w:leftChars="0" w:firstLine="640" w:firstLineChars="0"/>
        <w:rPr>
          <w:rFonts w:ascii="黑体" w:eastAsia="黑体"/>
          <w:sz w:val="32"/>
        </w:rPr>
      </w:pPr>
      <w:r>
        <w:rPr>
          <w:rFonts w:ascii="黑体" w:eastAsia="黑体"/>
          <w:sz w:val="32"/>
        </w:rPr>
        <w:t>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highlight w:val="yellow"/>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w:t>
      </w:r>
      <w:r>
        <w:rPr>
          <w:rFonts w:hint="eastAsia" w:ascii="仿宋_GB2312" w:eastAsia="仿宋_GB2312"/>
          <w:sz w:val="32"/>
          <w:highlight w:val="none"/>
          <w:lang w:eastAsia="zh-CN"/>
        </w:rPr>
        <w:t>务</w:t>
      </w:r>
      <w:r>
        <w:rPr>
          <w:rFonts w:ascii="仿宋_GB2312" w:eastAsia="仿宋_GB2312"/>
          <w:sz w:val="32"/>
          <w:highlight w:val="none"/>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278.1</w:t>
      </w:r>
      <w:r>
        <w:rPr>
          <w:rFonts w:ascii="仿宋_GB2312" w:eastAsia="仿宋_GB2312"/>
          <w:sz w:val="32"/>
        </w:rPr>
        <w:t>万元，其中：人员经费</w:t>
      </w:r>
      <w:r>
        <w:rPr>
          <w:rFonts w:hint="eastAsia" w:ascii="仿宋_GB2312" w:eastAsia="仿宋_GB2312"/>
          <w:sz w:val="32"/>
          <w:lang w:val="en-US" w:eastAsia="zh-CN"/>
        </w:rPr>
        <w:t>30.79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247.31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sz w:val="32"/>
          <w:lang w:val="en-US" w:eastAsia="zh-CN"/>
        </w:rPr>
        <w:t>与上年持平，主要原因是沈阳市浑南区第教育局店幼儿园属于事业单位，无机关运行经费</w:t>
      </w:r>
      <w:r>
        <w:rPr>
          <w:rFonts w:ascii="仿宋_GB2312" w:eastAsia="仿宋_GB2312"/>
          <w:sz w:val="32"/>
        </w:rPr>
        <w:t>。</w:t>
      </w:r>
    </w:p>
    <w:p>
      <w:pPr>
        <w:pStyle w:val="6"/>
        <w:spacing w:line="560" w:lineRule="exact"/>
        <w:ind w:firstLine="640"/>
        <w:rPr>
          <w:rFonts w:ascii="仿宋_GB2312" w:eastAsia="仿宋_GB2312"/>
          <w:sz w:val="32"/>
        </w:rPr>
      </w:pPr>
    </w:p>
    <w:p>
      <w:pPr>
        <w:pStyle w:val="6"/>
        <w:spacing w:line="560" w:lineRule="exact"/>
        <w:ind w:firstLine="640"/>
        <w:rPr>
          <w:rFonts w:ascii="仿宋_GB2312" w:eastAsia="仿宋_GB2312"/>
          <w:sz w:val="32"/>
        </w:rPr>
      </w:pPr>
    </w:p>
    <w:p>
      <w:pPr>
        <w:pStyle w:val="6"/>
        <w:spacing w:line="560" w:lineRule="exact"/>
        <w:ind w:firstLine="640"/>
        <w:rPr>
          <w:rFonts w:hint="default" w:ascii="仿宋_GB2312" w:eastAsia="仿宋_GB2312"/>
          <w:sz w:val="32"/>
        </w:rPr>
      </w:pPr>
    </w:p>
    <w:p>
      <w:pPr>
        <w:pStyle w:val="6"/>
        <w:numPr>
          <w:ilvl w:val="0"/>
          <w:numId w:val="4"/>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eastAsia" w:ascii="仿宋_GB2312" w:eastAsia="仿宋_GB2312"/>
          <w:sz w:val="32"/>
          <w:lang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w:t>
      </w:r>
    </w:p>
    <w:p>
      <w:pPr>
        <w:pStyle w:val="6"/>
        <w:numPr>
          <w:ilvl w:val="0"/>
          <w:numId w:val="5"/>
        </w:numPr>
        <w:spacing w:line="560" w:lineRule="exact"/>
        <w:ind w:left="-10" w:leftChars="0" w:firstLine="640" w:firstLineChars="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pStyle w:val="6"/>
        <w:numPr>
          <w:ilvl w:val="0"/>
          <w:numId w:val="5"/>
        </w:numPr>
        <w:spacing w:line="560" w:lineRule="exact"/>
        <w:ind w:left="-10" w:leftChars="0" w:firstLine="640" w:firstLineChars="0"/>
        <w:rPr>
          <w:rFonts w:ascii="楷体_GB2312" w:eastAsia="楷体_GB2312"/>
          <w:b/>
          <w:sz w:val="32"/>
        </w:rPr>
      </w:pPr>
      <w:r>
        <w:rPr>
          <w:rFonts w:ascii="楷体_GB2312" w:eastAsia="楷体_GB2312"/>
          <w:b/>
          <w:sz w:val="32"/>
        </w:rPr>
        <w:t>预算绩效管理工作开展情况</w:t>
      </w:r>
    </w:p>
    <w:p>
      <w:pPr>
        <w:widowControl/>
        <w:spacing w:line="560" w:lineRule="exact"/>
        <w:ind w:firstLine="640" w:firstLineChars="200"/>
        <w:rPr>
          <w:rFonts w:hint="default"/>
          <w:b/>
          <w:sz w:val="36"/>
          <w:lang w:val="en-US"/>
        </w:rPr>
      </w:pPr>
      <w:r>
        <w:rPr>
          <w:rFonts w:hint="eastAsia" w:ascii="仿宋_GB2312" w:hAnsi="宋体" w:eastAsia="仿宋_GB2312" w:cs="仿宋_GB2312"/>
          <w:color w:val="auto"/>
          <w:kern w:val="2"/>
          <w:sz w:val="32"/>
          <w:szCs w:val="32"/>
          <w:highlight w:val="none"/>
          <w:shd w:val="clear" w:color="auto" w:fill="auto"/>
          <w:lang w:val="en-US" w:eastAsia="zh-CN" w:bidi="ar"/>
        </w:rPr>
        <w:t>本单位2022年不涉及特定目标类项目，因为无绩效评价。</w:t>
      </w:r>
    </w:p>
    <w:p>
      <w:pPr>
        <w:pStyle w:val="6"/>
        <w:spacing w:line="560" w:lineRule="exact"/>
        <w:rPr>
          <w:rFonts w:hint="default"/>
          <w:b/>
          <w:sz w:val="36"/>
        </w:rPr>
      </w:pPr>
    </w:p>
    <w:p>
      <w:pPr>
        <w:pStyle w:val="9"/>
        <w:numPr>
          <w:ilvl w:val="0"/>
          <w:numId w:val="1"/>
        </w:numPr>
        <w:autoSpaceDN w:val="0"/>
        <w:spacing w:line="560" w:lineRule="exact"/>
        <w:ind w:left="0" w:leftChars="0" w:firstLine="0" w:firstLineChars="0"/>
        <w:jc w:val="center"/>
        <w:rPr>
          <w:rFonts w:hint="eastAsia"/>
          <w:b/>
          <w:bCs/>
          <w:sz w:val="36"/>
          <w:szCs w:val="36"/>
        </w:rPr>
      </w:pPr>
      <w:r>
        <w:rPr>
          <w:rFonts w:hint="eastAsia"/>
          <w:b/>
          <w:bCs/>
          <w:sz w:val="36"/>
          <w:szCs w:val="36"/>
        </w:rPr>
        <w:t>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浑南区教育局第三幼儿园</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6"/>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368B0"/>
    <w:multiLevelType w:val="singleLevel"/>
    <w:tmpl w:val="A0C368B0"/>
    <w:lvl w:ilvl="0" w:tentative="0">
      <w:start w:val="1"/>
      <w:numFmt w:val="chineseCounting"/>
      <w:suff w:val="space"/>
      <w:lvlText w:val="第%1部分"/>
      <w:lvlJc w:val="left"/>
      <w:rPr>
        <w:rFonts w:hint="eastAsia"/>
      </w:rPr>
    </w:lvl>
  </w:abstractNum>
  <w:abstractNum w:abstractNumId="1">
    <w:nsid w:val="EE9F3057"/>
    <w:multiLevelType w:val="singleLevel"/>
    <w:tmpl w:val="EE9F3057"/>
    <w:lvl w:ilvl="0" w:tentative="0">
      <w:start w:val="2"/>
      <w:numFmt w:val="chineseCounting"/>
      <w:suff w:val="nothing"/>
      <w:lvlText w:val="%1、"/>
      <w:lvlJc w:val="left"/>
      <w:pPr>
        <w:ind w:left="-10"/>
      </w:pPr>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45DDDE7F"/>
    <w:multiLevelType w:val="singleLevel"/>
    <w:tmpl w:val="45DDDE7F"/>
    <w:lvl w:ilvl="0" w:tentative="0">
      <w:start w:val="4"/>
      <w:numFmt w:val="chineseCounting"/>
      <w:suff w:val="nothing"/>
      <w:lvlText w:val="（%1）"/>
      <w:lvlJc w:val="left"/>
      <w:rPr>
        <w:rFonts w:hint="eastAsia"/>
      </w:rPr>
    </w:lvl>
  </w:abstractNum>
  <w:abstractNum w:abstractNumId="4">
    <w:nsid w:val="67630EA7"/>
    <w:multiLevelType w:val="singleLevel"/>
    <w:tmpl w:val="67630EA7"/>
    <w:lvl w:ilvl="0" w:tentative="0">
      <w:start w:val="3"/>
      <w:numFmt w:val="chineseCounting"/>
      <w:suff w:val="nothing"/>
      <w:lvlText w:val="（%1）"/>
      <w:lvlJc w:val="left"/>
      <w:pPr>
        <w:ind w:left="-10"/>
      </w:pPr>
      <w:rPr>
        <w:rFonts w:hint="eastAsia"/>
      </w:rPr>
    </w:lvl>
  </w:abstractNum>
  <w:abstractNum w:abstractNumId="5">
    <w:nsid w:val="73FDE5F6"/>
    <w:multiLevelType w:val="singleLevel"/>
    <w:tmpl w:val="73FDE5F6"/>
    <w:lvl w:ilvl="0" w:tentative="0">
      <w:start w:val="2"/>
      <w:numFmt w:val="chineseCounting"/>
      <w:suff w:val="nothing"/>
      <w:lvlText w:val="（%1）"/>
      <w:lvlJc w:val="left"/>
      <w:rPr>
        <w:rFonts w:hint="eastAsia"/>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31E7F"/>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5F70E7"/>
    <w:rsid w:val="01622E76"/>
    <w:rsid w:val="079F7446"/>
    <w:rsid w:val="082C6248"/>
    <w:rsid w:val="09C4782E"/>
    <w:rsid w:val="0ECB7368"/>
    <w:rsid w:val="0FD91C07"/>
    <w:rsid w:val="11612EA5"/>
    <w:rsid w:val="12CC5588"/>
    <w:rsid w:val="131E2240"/>
    <w:rsid w:val="178D3135"/>
    <w:rsid w:val="1B9703C5"/>
    <w:rsid w:val="1C635C29"/>
    <w:rsid w:val="1C6537BA"/>
    <w:rsid w:val="1D326D3C"/>
    <w:rsid w:val="25AF1851"/>
    <w:rsid w:val="286C4199"/>
    <w:rsid w:val="28977847"/>
    <w:rsid w:val="2A3D2189"/>
    <w:rsid w:val="2E4F6256"/>
    <w:rsid w:val="36230505"/>
    <w:rsid w:val="37E62316"/>
    <w:rsid w:val="39953299"/>
    <w:rsid w:val="3BA207ED"/>
    <w:rsid w:val="41F93484"/>
    <w:rsid w:val="43ED4466"/>
    <w:rsid w:val="46CA2860"/>
    <w:rsid w:val="474C6DD1"/>
    <w:rsid w:val="54F6469B"/>
    <w:rsid w:val="59C52B8D"/>
    <w:rsid w:val="5AE973A2"/>
    <w:rsid w:val="5B697371"/>
    <w:rsid w:val="5DC83438"/>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3230</Words>
  <Characters>3407</Characters>
  <Lines>37</Lines>
  <Paragraphs>10</Paragraphs>
  <TotalTime>0</TotalTime>
  <ScaleCrop>false</ScaleCrop>
  <LinksUpToDate>false</LinksUpToDate>
  <CharactersWithSpaces>3435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2023-09-15T08:35:43Z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FB623F1F670F4006AB7FF60C31872B34_13</vt:lpwstr>
  </property>
</Properties>
</file>