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color w:val="FF0000"/>
          <w:sz w:val="52"/>
          <w:szCs w:val="52"/>
          <w:lang w:eastAsia="zh-CN"/>
        </w:rPr>
      </w:pPr>
      <w:r>
        <w:rPr>
          <w:rFonts w:ascii="宋体" w:hAnsi="宋体"/>
          <w:b/>
          <w:sz w:val="52"/>
          <w:szCs w:val="52"/>
        </w:rPr>
        <w:t>辽宁省沈阳市浑南区第一小学幼儿园2022决算</w:t>
      </w:r>
      <w:r>
        <w:rPr>
          <w:rFonts w:hint="eastAsia" w:ascii="宋体" w:hAnsi="宋体"/>
          <w:b/>
          <w:sz w:val="52"/>
          <w:szCs w:val="52"/>
          <w:lang w:eastAsia="zh-CN"/>
        </w:rPr>
        <w:t>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heme="minorEastAsia"/>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第一部分    部门概况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2022年度决算情况说明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default" w:ascii="黑体" w:hAnsi="黑体" w:eastAsia="黑体"/>
          <w:sz w:val="32"/>
          <w:szCs w:val="32"/>
        </w:rPr>
      </w:pPr>
      <w:r>
        <w:rPr>
          <w:rFonts w:ascii="黑体" w:hAnsi="黑体" w:eastAsia="黑体"/>
          <w:sz w:val="32"/>
          <w:szCs w:val="32"/>
        </w:rPr>
        <w:t>第四部分    2022年度决算报表</w:t>
      </w:r>
    </w:p>
    <w:p>
      <w:pPr>
        <w:spacing w:line="540" w:lineRule="exact"/>
        <w:rPr>
          <w:rFonts w:hint="default" w:ascii="仿宋_GB2312" w:hAnsi="黑体" w:eastAsia="仿宋_GB2312"/>
          <w:sz w:val="32"/>
          <w:szCs w:val="32"/>
        </w:rPr>
      </w:pPr>
      <w:r>
        <w:rPr>
          <w:rFonts w:ascii="仿宋_GB2312" w:eastAsia="仿宋_GB2312"/>
          <w:sz w:val="32"/>
          <w:szCs w:val="32"/>
        </w:rPr>
        <w:t>一、</w:t>
      </w:r>
      <w:r>
        <w:rPr>
          <w:rFonts w:ascii="仿宋_GB2312" w:hAnsi="仿宋" w:eastAsia="仿宋_GB2312"/>
          <w:sz w:val="32"/>
          <w:szCs w:val="32"/>
        </w:rPr>
        <w:t>收入支出决算总表</w:t>
      </w:r>
    </w:p>
    <w:p>
      <w:pPr>
        <w:spacing w:line="540" w:lineRule="exact"/>
        <w:rPr>
          <w:rFonts w:hint="default" w:ascii="仿宋_GB2312" w:eastAsia="仿宋_GB2312"/>
          <w:sz w:val="32"/>
          <w:szCs w:val="32"/>
        </w:rPr>
      </w:pPr>
      <w:r>
        <w:rPr>
          <w:rFonts w:ascii="仿宋_GB2312" w:eastAsia="仿宋_GB2312"/>
          <w:sz w:val="32"/>
          <w:szCs w:val="32"/>
        </w:rPr>
        <w:t>二、收入决算表</w:t>
      </w:r>
    </w:p>
    <w:p>
      <w:pPr>
        <w:spacing w:line="540" w:lineRule="exact"/>
        <w:rPr>
          <w:rFonts w:hint="default" w:ascii="仿宋_GB2312" w:eastAsia="仿宋_GB2312"/>
          <w:sz w:val="32"/>
          <w:szCs w:val="32"/>
        </w:rPr>
      </w:pPr>
      <w:r>
        <w:rPr>
          <w:rFonts w:ascii="仿宋_GB2312" w:eastAsia="仿宋_GB2312"/>
          <w:sz w:val="32"/>
          <w:szCs w:val="32"/>
        </w:rPr>
        <w:t>三、支出决算表</w:t>
      </w:r>
    </w:p>
    <w:p>
      <w:pPr>
        <w:spacing w:line="540" w:lineRule="exact"/>
        <w:rPr>
          <w:rFonts w:hint="default" w:ascii="仿宋_GB2312" w:hAnsi="黑体" w:eastAsia="仿宋_GB2312"/>
          <w:sz w:val="32"/>
          <w:szCs w:val="32"/>
        </w:rPr>
      </w:pPr>
      <w:r>
        <w:rPr>
          <w:rFonts w:ascii="仿宋_GB2312" w:eastAsia="仿宋_GB2312"/>
          <w:sz w:val="32"/>
          <w:szCs w:val="32"/>
        </w:rPr>
        <w:t>四、</w:t>
      </w:r>
      <w:r>
        <w:rPr>
          <w:rFonts w:ascii="仿宋_GB2312" w:hAnsi="仿宋" w:eastAsia="仿宋_GB2312"/>
          <w:sz w:val="32"/>
          <w:szCs w:val="32"/>
        </w:rPr>
        <w:t>财政拨款收入支出决算表</w:t>
      </w:r>
    </w:p>
    <w:p>
      <w:pPr>
        <w:spacing w:line="540" w:lineRule="exact"/>
        <w:rPr>
          <w:rFonts w:hint="default" w:ascii="仿宋_GB2312" w:eastAsia="仿宋_GB2312"/>
          <w:sz w:val="32"/>
          <w:szCs w:val="32"/>
        </w:rPr>
      </w:pPr>
      <w:r>
        <w:rPr>
          <w:rFonts w:ascii="仿宋_GB2312" w:eastAsia="仿宋_GB2312"/>
          <w:sz w:val="32"/>
          <w:szCs w:val="32"/>
        </w:rPr>
        <w:t>五、一般公共预算财政拨款支出决算表</w:t>
      </w:r>
    </w:p>
    <w:p>
      <w:pPr>
        <w:spacing w:line="540" w:lineRule="exact"/>
        <w:rPr>
          <w:rFonts w:hint="default" w:ascii="仿宋_GB2312" w:eastAsia="仿宋_GB2312"/>
          <w:sz w:val="32"/>
          <w:szCs w:val="32"/>
        </w:rPr>
      </w:pPr>
      <w:r>
        <w:rPr>
          <w:rFonts w:ascii="仿宋_GB2312" w:eastAsia="仿宋_GB2312"/>
          <w:sz w:val="32"/>
          <w:szCs w:val="32"/>
        </w:rPr>
        <w:t>六、一般公共预算财政拨款基本支出决算表</w:t>
      </w:r>
    </w:p>
    <w:p>
      <w:pPr>
        <w:spacing w:line="540" w:lineRule="exact"/>
        <w:rPr>
          <w:rFonts w:hint="default" w:ascii="仿宋_GB2312" w:eastAsia="仿宋_GB2312"/>
          <w:sz w:val="32"/>
          <w:szCs w:val="32"/>
        </w:rPr>
      </w:pPr>
      <w:r>
        <w:rPr>
          <w:rFonts w:ascii="仿宋_GB2312" w:eastAsia="仿宋_GB2312"/>
          <w:sz w:val="32"/>
          <w:szCs w:val="32"/>
        </w:rPr>
        <w:t>七、一般公共预算财政拨款“三公”经费支出决算表</w:t>
      </w:r>
    </w:p>
    <w:p>
      <w:pPr>
        <w:spacing w:line="540" w:lineRule="exact"/>
        <w:ind w:left="640" w:hanging="640" w:hangingChars="200"/>
        <w:rPr>
          <w:rFonts w:hint="default" w:ascii="仿宋_GB2312" w:eastAsia="仿宋_GB2312"/>
          <w:sz w:val="32"/>
          <w:szCs w:val="32"/>
        </w:rPr>
      </w:pPr>
      <w:r>
        <w:rPr>
          <w:rFonts w:ascii="仿宋_GB2312" w:eastAsia="仿宋_GB2312"/>
          <w:sz w:val="32"/>
          <w:szCs w:val="32"/>
        </w:rPr>
        <w:t>八、政府性基金预算财政拨款收入支出决算表</w:t>
      </w:r>
    </w:p>
    <w:p>
      <w:pPr>
        <w:spacing w:line="540" w:lineRule="exact"/>
        <w:rPr>
          <w:rFonts w:hint="default" w:ascii="仿宋_GB2312" w:eastAsia="仿宋_GB2312"/>
          <w:sz w:val="32"/>
          <w:szCs w:val="32"/>
        </w:rPr>
      </w:pPr>
      <w:r>
        <w:rPr>
          <w:rFonts w:ascii="仿宋_GB2312" w:eastAsia="仿宋_GB2312"/>
          <w:sz w:val="32"/>
          <w:szCs w:val="32"/>
        </w:rPr>
        <w:t>九、国有资本经营预算财政拨款支出决算表</w:t>
      </w:r>
    </w:p>
    <w:p>
      <w:pPr>
        <w:spacing w:line="540" w:lineRule="exact"/>
        <w:rPr>
          <w:rFonts w:hint="default" w:ascii="黑体" w:hAnsi="黑体" w:eastAsia="黑体"/>
          <w:b/>
          <w:sz w:val="44"/>
          <w:szCs w:val="44"/>
          <w:u w:val="single"/>
        </w:rPr>
      </w:pPr>
      <w:r>
        <w:rPr>
          <w:rFonts w:ascii="黑体" w:hAnsi="黑体" w:eastAsia="黑体"/>
          <w:sz w:val="32"/>
          <w:szCs w:val="32"/>
        </w:rPr>
        <w:t>第五部分    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default"/>
          <w:b/>
          <w:sz w:val="36"/>
        </w:rPr>
      </w:pPr>
      <w:r>
        <w:rPr>
          <w:b/>
          <w:sz w:val="36"/>
        </w:rPr>
        <w:t>第一部分辽宁省沈阳市浑南区第一小学幼儿园概况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hAnsi="黑体" w:eastAsia="黑体" w:cs="黑体"/>
          <w:b/>
          <w:bCs/>
          <w:color w:val="FF0000"/>
          <w:sz w:val="32"/>
          <w:szCs w:val="32"/>
        </w:rPr>
      </w:pPr>
      <w:r>
        <w:rPr>
          <w:rFonts w:ascii="黑体" w:eastAsia="黑体"/>
          <w:sz w:val="32"/>
        </w:rPr>
        <w:t>一、主要职责</w:t>
      </w:r>
    </w:p>
    <w:p>
      <w:pPr>
        <w:pStyle w:val="6"/>
        <w:spacing w:line="560" w:lineRule="exact"/>
        <w:ind w:firstLine="640"/>
        <w:rPr>
          <w:rFonts w:hint="default" w:ascii="仿宋_GB2312" w:hAnsi="Times New Roman" w:eastAsia="仿宋_GB2312"/>
          <w:sz w:val="32"/>
          <w:szCs w:val="32"/>
        </w:rPr>
      </w:pPr>
      <w:r>
        <w:rPr>
          <w:rFonts w:ascii="仿宋_GB2312" w:hAnsi="Times New Roman" w:eastAsia="仿宋_GB2312"/>
          <w:sz w:val="32"/>
          <w:szCs w:val="32"/>
        </w:rPr>
        <w:t>依法治教，依法办园。为社会提供高水平、高质量、高效率的学前教育服务，兴办一所高品质、现代化、创新型的幼儿园。为0—6岁学龄前儿童提供高质量的保育和教育服务。</w:t>
      </w:r>
    </w:p>
    <w:p>
      <w:pPr>
        <w:ind w:firstLine="640" w:firstLineChars="200"/>
        <w:rPr>
          <w:rFonts w:hint="default" w:ascii="仿宋_GB2312" w:eastAsia="仿宋_GB2312"/>
          <w:sz w:val="32"/>
          <w:szCs w:val="32"/>
        </w:rPr>
      </w:pPr>
      <w:r>
        <w:rPr>
          <w:rFonts w:ascii="仿宋_GB2312" w:eastAsia="仿宋_GB2312"/>
          <w:sz w:val="32"/>
          <w:szCs w:val="32"/>
        </w:rPr>
        <w:t>作为辽宁省学前教育示范单位，沈阳市浑南区第一小学幼儿园以“博物”为教育理念，将课程发展和教师专业发展统一在“给孩子一个五星级的家”“像爱家人一样爱孩子，像爱家庭一样爱园所”的“家园”文化中。</w:t>
      </w:r>
    </w:p>
    <w:p>
      <w:pPr>
        <w:pStyle w:val="6"/>
        <w:spacing w:line="560" w:lineRule="exact"/>
        <w:ind w:firstLine="640"/>
        <w:rPr>
          <w:rFonts w:hint="default" w:ascii="仿宋_GB2312" w:hAnsi="Times New Roman" w:eastAsia="仿宋_GB2312"/>
          <w:sz w:val="32"/>
          <w:szCs w:val="32"/>
        </w:rPr>
      </w:pPr>
      <w:r>
        <w:rPr>
          <w:rFonts w:ascii="仿宋_GB2312" w:hAnsi="Times New Roman" w:eastAsia="仿宋_GB2312"/>
          <w:sz w:val="32"/>
          <w:szCs w:val="32"/>
        </w:rPr>
        <w:t>幼儿园专项教室齐备，依照五星级幼儿园标准投入设施设备，每班设有活动室、寝室、盥洗室、男女生独立卫生间。</w:t>
      </w:r>
    </w:p>
    <w:p>
      <w:pPr>
        <w:ind w:firstLine="640" w:firstLineChars="200"/>
        <w:rPr>
          <w:rFonts w:hint="default" w:ascii="仿宋_GB2312" w:eastAsia="仿宋_GB2312"/>
          <w:sz w:val="32"/>
          <w:szCs w:val="32"/>
        </w:rPr>
      </w:pPr>
      <w:r>
        <w:rPr>
          <w:rFonts w:ascii="仿宋_GB2312" w:eastAsia="仿宋_GB2312"/>
          <w:sz w:val="32"/>
          <w:szCs w:val="32"/>
        </w:rPr>
        <w:t>沈阳市浑南区第一小学幼儿园将从身边一个“小小的物” 出发，去触发认识一个大大的世界，让孩子以自然为师，以万物为友，在主题活动中唤醒天性，激发兴趣，锻炼体力，培养习惯，发展认知，启迪智慧，为孩子的日后远航做好准备。</w:t>
      </w:r>
    </w:p>
    <w:p>
      <w:pPr>
        <w:pStyle w:val="6"/>
        <w:spacing w:line="560" w:lineRule="exact"/>
        <w:ind w:firstLine="640"/>
        <w:rPr>
          <w:rFonts w:hint="default" w:ascii="仿宋_GB2312" w:hAnsi="Times New Roman" w:eastAsia="仿宋_GB2312"/>
          <w:sz w:val="32"/>
          <w:szCs w:val="32"/>
        </w:rPr>
      </w:pPr>
    </w:p>
    <w:p>
      <w:pPr>
        <w:pStyle w:val="6"/>
        <w:spacing w:line="560" w:lineRule="exact"/>
        <w:ind w:firstLine="640"/>
        <w:rPr>
          <w:rFonts w:hint="default" w:ascii="仿宋_GB2312" w:hAnsi="仿宋_GB2312" w:eastAsia="仿宋_GB2312" w:cs="仿宋_GB2312"/>
          <w:b/>
          <w:bCs/>
          <w:color w:val="FF0000"/>
          <w:sz w:val="32"/>
          <w:szCs w:val="32"/>
        </w:rPr>
      </w:pPr>
      <w:r>
        <w:rPr>
          <w:rFonts w:ascii="黑体" w:eastAsia="黑体"/>
          <w:sz w:val="32"/>
        </w:rPr>
        <w:t>二、决算单位构成</w:t>
      </w:r>
    </w:p>
    <w:p>
      <w:pPr>
        <w:widowControl/>
        <w:ind w:firstLine="640" w:firstLineChars="200"/>
        <w:jc w:val="left"/>
        <w:rPr>
          <w:rFonts w:hint="default" w:eastAsia="仿宋_GB2312" w:cs="宋体"/>
          <w:b/>
          <w:bCs/>
          <w:kern w:val="0"/>
          <w:sz w:val="32"/>
          <w:szCs w:val="32"/>
        </w:rPr>
      </w:pPr>
      <w:r>
        <w:rPr>
          <w:rFonts w:eastAsia="仿宋_GB2312" w:cs="宋体"/>
          <w:b w:val="0"/>
          <w:bCs w:val="0"/>
          <w:kern w:val="0"/>
          <w:sz w:val="32"/>
          <w:szCs w:val="32"/>
        </w:rPr>
        <w:t>辽宁省沈阳市浑南区第一小学幼儿园是纳入浑南区教育局2022年决算编制范围的二级预算单位,本单位无下设机构。</w:t>
      </w:r>
    </w:p>
    <w:p>
      <w:pPr>
        <w:pStyle w:val="6"/>
        <w:spacing w:line="560" w:lineRule="exact"/>
        <w:jc w:val="center"/>
        <w:rPr>
          <w:rFonts w:hint="default"/>
          <w:b/>
          <w:sz w:val="36"/>
        </w:rPr>
      </w:pPr>
      <w:r>
        <w:rPr>
          <w:b/>
          <w:sz w:val="36"/>
        </w:rPr>
        <w:t>第二部分辽宁省沈阳市浑南区第一小学幼儿园2022年决算情况说明</w:t>
      </w:r>
    </w:p>
    <w:p>
      <w:pPr>
        <w:numPr>
          <w:ilvl w:val="0"/>
          <w:numId w:val="1"/>
        </w:numPr>
        <w:spacing w:line="540" w:lineRule="exact"/>
        <w:ind w:firstLine="627" w:firstLineChars="196"/>
        <w:rPr>
          <w:rFonts w:ascii="黑体" w:eastAsia="黑体"/>
          <w:color w:val="auto"/>
          <w:sz w:val="32"/>
        </w:rPr>
      </w:pPr>
      <w:r>
        <w:rPr>
          <w:rFonts w:ascii="黑体" w:eastAsia="黑体"/>
          <w:color w:val="auto"/>
          <w:sz w:val="32"/>
        </w:rPr>
        <w:t>收入支出决算总体情况说明</w:t>
      </w:r>
    </w:p>
    <w:p>
      <w:pPr>
        <w:numPr>
          <w:numId w:val="0"/>
        </w:numPr>
        <w:spacing w:line="540" w:lineRule="exact"/>
        <w:ind w:firstLine="643" w:firstLineChars="200"/>
        <w:rPr>
          <w:rFonts w:hint="default" w:ascii="楷体_GB2312" w:eastAsia="楷体_GB2312"/>
          <w:b/>
          <w:sz w:val="32"/>
        </w:rPr>
      </w:pPr>
      <w:r>
        <w:rPr>
          <w:rFonts w:ascii="楷体_GB2312" w:eastAsia="楷体_GB2312"/>
          <w:b/>
          <w:sz w:val="32"/>
        </w:rPr>
        <w:t>（一）收入总计601.05万元，包括：</w:t>
      </w:r>
      <w:r>
        <w:rPr>
          <w:rFonts w:hint="default" w:ascii="楷体_GB2312" w:eastAsia="楷体_GB2312"/>
          <w:b/>
          <w:sz w:val="32"/>
        </w:rPr>
        <w:t xml:space="preserve"> </w:t>
      </w:r>
    </w:p>
    <w:p>
      <w:pPr>
        <w:pStyle w:val="6"/>
        <w:spacing w:line="560" w:lineRule="exact"/>
        <w:ind w:firstLine="660"/>
        <w:rPr>
          <w:rFonts w:hint="default" w:ascii="仿宋_GB2312" w:eastAsia="仿宋_GB2312"/>
          <w:sz w:val="32"/>
        </w:rPr>
      </w:pPr>
      <w:r>
        <w:rPr>
          <w:rFonts w:ascii="仿宋_GB2312" w:eastAsia="仿宋_GB2312"/>
          <w:sz w:val="32"/>
        </w:rPr>
        <w:t>1.财政拨款收入596.9万元，占收入总计的99.31%。其中：一般公共预算财政拨款收入596.9万元，政府性基金收入0万元，国有资本经营预算财政拨款收入0万元。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.其他收入4.15万元，占收入总计的0.69%。主要是 智慧+课程  收入。</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3</w:t>
      </w:r>
      <w:r>
        <w:rPr>
          <w:rFonts w:ascii="仿宋_GB2312" w:eastAsia="仿宋_GB2312"/>
          <w:sz w:val="32"/>
        </w:rPr>
        <w:t>.上年结转和结余0万元，没形成该笔资金。</w:t>
      </w:r>
    </w:p>
    <w:p>
      <w:pPr>
        <w:pStyle w:val="6"/>
        <w:spacing w:line="560" w:lineRule="exact"/>
        <w:ind w:firstLine="660"/>
        <w:rPr>
          <w:rFonts w:hint="default" w:ascii="仿宋_GB2312" w:eastAsia="仿宋_GB2312"/>
          <w:sz w:val="32"/>
        </w:rPr>
      </w:pPr>
      <w:r>
        <w:rPr>
          <w:rFonts w:ascii="仿宋_GB2312" w:eastAsia="仿宋_GB2312"/>
          <w:color w:val="auto"/>
          <w:sz w:val="32"/>
        </w:rPr>
        <w:t>与上年收入总计988.38相比，今年收入减少387.33万元，降低39.19%，主要原因：一是由于疫情原因幼儿园停园；二是停园期间幼儿保育教育费收入减少。</w:t>
      </w:r>
    </w:p>
    <w:p>
      <w:pPr>
        <w:pStyle w:val="6"/>
        <w:spacing w:line="560" w:lineRule="exact"/>
        <w:ind w:firstLine="660"/>
        <w:rPr>
          <w:rFonts w:hint="default" w:ascii="黑体" w:hAnsi="黑体" w:eastAsia="黑体" w:cs="黑体"/>
          <w:b/>
          <w:color w:val="FF0000"/>
          <w:sz w:val="32"/>
          <w:szCs w:val="32"/>
        </w:rPr>
      </w:pPr>
      <w:r>
        <w:rPr>
          <w:rFonts w:ascii="楷体_GB2312" w:eastAsia="楷体_GB2312"/>
          <w:b/>
          <w:sz w:val="32"/>
        </w:rPr>
        <w:t>（二）支出总计601.05万元，包括：</w:t>
      </w:r>
    </w:p>
    <w:p>
      <w:pPr>
        <w:pStyle w:val="6"/>
        <w:spacing w:line="560" w:lineRule="exact"/>
        <w:ind w:firstLine="660"/>
        <w:rPr>
          <w:rFonts w:hint="default" w:ascii="仿宋_GB2312" w:eastAsia="仿宋_GB2312"/>
          <w:sz w:val="32"/>
        </w:rPr>
      </w:pPr>
      <w:r>
        <w:rPr>
          <w:rFonts w:ascii="仿宋_GB2312" w:eastAsia="仿宋_GB2312"/>
          <w:sz w:val="32"/>
        </w:rPr>
        <w:t>1.基本支出0.1万元，占支出总计的0.17%。主要是为保障机构正常运转、完成日常工作任务而发生的各项支出，其中：工资福利支出0.1万元，对个人和家庭的补助支出0万元，商品和服务支出0万元。</w:t>
      </w:r>
    </w:p>
    <w:p>
      <w:pPr>
        <w:pStyle w:val="6"/>
        <w:spacing w:line="560" w:lineRule="exact"/>
        <w:ind w:firstLine="660"/>
        <w:rPr>
          <w:rFonts w:ascii="仿宋_GB2312" w:eastAsia="仿宋_GB2312"/>
          <w:sz w:val="32"/>
        </w:rPr>
      </w:pPr>
      <w:r>
        <w:rPr>
          <w:rFonts w:ascii="仿宋_GB2312" w:eastAsia="仿宋_GB2312"/>
          <w:sz w:val="32"/>
        </w:rPr>
        <w:t>2.项目支出600.95万元，占支出总计的99.83%。主要包括学前教育支出530.04万元，其他教育费附加安排的支出70.91万元。</w:t>
      </w:r>
    </w:p>
    <w:p>
      <w:pPr>
        <w:pStyle w:val="6"/>
        <w:spacing w:line="560" w:lineRule="exact"/>
        <w:ind w:firstLine="660"/>
        <w:rPr>
          <w:rFonts w:hint="default" w:ascii="黑体" w:hAnsi="黑体" w:eastAsia="黑体" w:cs="黑体"/>
          <w:b/>
          <w:bCs/>
          <w:color w:val="FF0000"/>
          <w:sz w:val="32"/>
          <w:szCs w:val="32"/>
        </w:rPr>
      </w:pPr>
      <w:r>
        <w:rPr>
          <w:rFonts w:ascii="仿宋_GB2312" w:eastAsia="仿宋_GB2312"/>
          <w:sz w:val="32"/>
        </w:rPr>
        <w:t>与上年支出总计988.38相比，今年支出减少387.33万元，降低39.19%，主要原因：一是由于疫情原因幼儿园停园；二是停园期间项目支出减少。</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（三）年末结转和结余0元</w:t>
      </w:r>
    </w:p>
    <w:p>
      <w:pPr>
        <w:pStyle w:val="6"/>
        <w:spacing w:line="560" w:lineRule="exact"/>
        <w:ind w:firstLine="640" w:firstLineChars="200"/>
        <w:rPr>
          <w:rFonts w:hint="default" w:ascii="楷体_GB2312" w:eastAsia="仿宋"/>
          <w:b/>
          <w:sz w:val="32"/>
        </w:rPr>
      </w:pPr>
      <w:r>
        <w:rPr>
          <w:rFonts w:ascii="仿宋" w:hAnsi="仿宋" w:eastAsia="仿宋" w:cs="仿宋"/>
          <w:bCs/>
          <w:sz w:val="32"/>
        </w:rPr>
        <w:t>2022年收支一致没有结余，与上年持平。</w:t>
      </w:r>
    </w:p>
    <w:p>
      <w:pPr>
        <w:pStyle w:val="6"/>
        <w:spacing w:line="560" w:lineRule="exact"/>
        <w:ind w:firstLine="660"/>
        <w:rPr>
          <w:rFonts w:hint="default" w:ascii="黑体" w:hAnsi="黑体" w:eastAsia="黑体"/>
          <w:b/>
          <w:bCs/>
          <w:color w:val="FF0000"/>
          <w:sz w:val="32"/>
          <w:szCs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spacing w:line="540" w:lineRule="exact"/>
        <w:ind w:firstLine="660"/>
        <w:rPr>
          <w:rFonts w:hint="default" w:ascii="仿宋_GB2312" w:hAnsi="宋体" w:eastAsia="仿宋_GB2312"/>
          <w:sz w:val="32"/>
          <w:szCs w:val="32"/>
        </w:rPr>
      </w:pPr>
      <w:r>
        <w:rPr>
          <w:rFonts w:ascii="仿宋_GB2312" w:eastAsia="仿宋_GB2312"/>
          <w:sz w:val="32"/>
        </w:rPr>
        <w:t>2022年度财政拨款支出601.05万元，其中：基本支出0.1万元，项目支出600.95万元。与上年财政拨款支出988.38相比，财政拨款支出减少387.33万元，降低39.19%，主要原因：本年度项目支出较上年度有所减少。</w:t>
      </w:r>
      <w:r>
        <w:rPr>
          <w:rFonts w:ascii="仿宋_GB2312" w:hAnsi="宋体" w:eastAsia="仿宋_GB2312"/>
          <w:sz w:val="32"/>
          <w:szCs w:val="32"/>
        </w:rPr>
        <w:t>幼儿园没有单独安排项目支出年初预算，由教育局统一安排。</w:t>
      </w:r>
    </w:p>
    <w:p>
      <w:pPr>
        <w:numPr>
          <w:ilvl w:val="0"/>
          <w:numId w:val="2"/>
        </w:numPr>
        <w:spacing w:line="560" w:lineRule="exact"/>
        <w:ind w:firstLine="660"/>
        <w:rPr>
          <w:rFonts w:ascii="楷体_GB2312" w:hAnsi="宋体" w:eastAsia="楷体_GB2312"/>
          <w:b/>
          <w:sz w:val="32"/>
          <w:szCs w:val="32"/>
        </w:rPr>
      </w:pPr>
      <w:r>
        <w:rPr>
          <w:rFonts w:ascii="楷体_GB2312" w:hAnsi="宋体" w:eastAsia="楷体_GB2312"/>
          <w:b/>
          <w:sz w:val="32"/>
          <w:szCs w:val="32"/>
        </w:rPr>
        <w:t>一般公共预算财政拨款支出情况。</w:t>
      </w:r>
    </w:p>
    <w:p>
      <w:pPr>
        <w:numPr>
          <w:numId w:val="0"/>
        </w:numPr>
        <w:spacing w:line="560" w:lineRule="exact"/>
        <w:ind w:firstLine="640" w:firstLineChars="200"/>
        <w:rPr>
          <w:rFonts w:hint="default" w:ascii="仿宋_GB2312" w:hAnsi="宋体" w:eastAsia="仿宋_GB2312"/>
          <w:color w:val="auto"/>
          <w:sz w:val="32"/>
          <w:szCs w:val="32"/>
        </w:rPr>
      </w:pPr>
      <w:r>
        <w:rPr>
          <w:rFonts w:ascii="仿宋_GB2312" w:hAnsi="宋体" w:eastAsia="仿宋_GB2312"/>
          <w:color w:val="auto"/>
          <w:sz w:val="32"/>
          <w:szCs w:val="32"/>
        </w:rPr>
        <w:t>2022年度一般公共预算财政拨款支出601.05万元，按支出功能分类科目分，包括：</w:t>
      </w:r>
      <w:r>
        <w:rPr>
          <w:rFonts w:ascii="仿宋_GB2312" w:eastAsia="仿宋_GB2312"/>
          <w:color w:val="auto"/>
          <w:sz w:val="32"/>
          <w:szCs w:val="32"/>
        </w:rPr>
        <w:t>教育支出</w:t>
      </w:r>
      <w:r>
        <w:rPr>
          <w:rFonts w:ascii="仿宋_GB2312" w:hAnsi="宋体" w:eastAsia="仿宋_GB2312"/>
          <w:color w:val="auto"/>
          <w:sz w:val="32"/>
          <w:szCs w:val="32"/>
        </w:rPr>
        <w:t>601.05万元，占100%。</w:t>
      </w:r>
    </w:p>
    <w:p>
      <w:pPr>
        <w:spacing w:line="560" w:lineRule="exact"/>
        <w:ind w:firstLine="627" w:firstLineChars="196"/>
        <w:rPr>
          <w:rFonts w:ascii="仿宋_GB2312" w:hAnsi="宋体" w:eastAsia="仿宋_GB2312"/>
          <w:color w:val="auto"/>
          <w:sz w:val="32"/>
          <w:szCs w:val="32"/>
        </w:rPr>
      </w:pPr>
      <w:r>
        <w:rPr>
          <w:rFonts w:ascii="仿宋_GB2312" w:hAnsi="宋体" w:eastAsia="仿宋_GB2312"/>
          <w:color w:val="auto"/>
          <w:sz w:val="32"/>
          <w:szCs w:val="32"/>
        </w:rPr>
        <w:t>1.</w:t>
      </w:r>
      <w:r>
        <w:rPr>
          <w:rFonts w:ascii="仿宋_GB2312" w:eastAsia="仿宋_GB2312"/>
          <w:color w:val="auto"/>
          <w:sz w:val="32"/>
          <w:szCs w:val="32"/>
        </w:rPr>
        <w:t xml:space="preserve"> 教育支出</w:t>
      </w:r>
      <w:r>
        <w:rPr>
          <w:rFonts w:ascii="仿宋_GB2312" w:hAnsi="宋体" w:eastAsia="仿宋_GB2312"/>
          <w:color w:val="auto"/>
          <w:sz w:val="32"/>
          <w:szCs w:val="32"/>
        </w:rPr>
        <w:t>601.05万元，具体包括：</w:t>
      </w:r>
    </w:p>
    <w:p>
      <w:pPr>
        <w:spacing w:line="560" w:lineRule="exact"/>
        <w:ind w:firstLine="627" w:firstLineChars="196"/>
        <w:rPr>
          <w:rFonts w:ascii="仿宋_GB2312" w:eastAsia="仿宋_GB2312"/>
          <w:color w:val="auto"/>
          <w:sz w:val="32"/>
          <w:szCs w:val="32"/>
        </w:rPr>
      </w:pPr>
      <w:r>
        <w:rPr>
          <w:rFonts w:ascii="仿宋_GB2312" w:hAnsi="宋体" w:eastAsia="仿宋_GB2312"/>
          <w:color w:val="auto"/>
          <w:sz w:val="32"/>
          <w:szCs w:val="32"/>
        </w:rPr>
        <w:t>（1）</w:t>
      </w:r>
      <w:r>
        <w:rPr>
          <w:rFonts w:ascii="仿宋_GB2312" w:eastAsia="仿宋_GB2312"/>
          <w:color w:val="auto"/>
          <w:sz w:val="32"/>
          <w:szCs w:val="32"/>
        </w:rPr>
        <w:t>学前教育支出530.14万元，主要是园聘教职工工资、水、电费等支出，完成年初预算的100%，决算数大于年初预算数的原因主要是幼儿园未安排年初预算，由教育局统一安排。</w:t>
      </w:r>
    </w:p>
    <w:p>
      <w:pPr>
        <w:widowControl w:val="0"/>
        <w:numPr>
          <w:ilvl w:val="0"/>
          <w:numId w:val="0"/>
        </w:numPr>
        <w:ind w:firstLine="640" w:firstLineChars="200"/>
        <w:jc w:val="both"/>
        <w:rPr>
          <w:rFonts w:hint="eastAsia" w:ascii="仿宋_GB2312" w:eastAsia="仿宋_GB2312"/>
          <w:color w:val="auto"/>
          <w:sz w:val="32"/>
          <w:szCs w:val="32"/>
          <w:lang w:eastAsia="zh-CN"/>
        </w:rPr>
      </w:pPr>
      <w:r>
        <w:rPr>
          <w:rFonts w:ascii="仿宋_GB2312" w:eastAsia="仿宋_GB2312"/>
          <w:color w:val="auto"/>
          <w:sz w:val="32"/>
          <w:szCs w:val="32"/>
        </w:rPr>
        <w:t>（2）其他教育费附加安排的支出70.91万元。完成年初预算的100%，决算数大于年初预算数的原因主要是幼儿园未安排年初预算，由教育局统一安排</w:t>
      </w:r>
      <w:r>
        <w:rPr>
          <w:rFonts w:hint="eastAsia" w:ascii="仿宋_GB2312" w:eastAsia="仿宋_GB2312"/>
          <w:color w:val="auto"/>
          <w:sz w:val="32"/>
          <w:szCs w:val="32"/>
          <w:lang w:eastAsia="zh-CN"/>
        </w:rPr>
        <w:t>。</w:t>
      </w:r>
      <w:bookmarkStart w:id="0" w:name="_GoBack"/>
      <w:bookmarkEnd w:id="0"/>
    </w:p>
    <w:p>
      <w:pPr>
        <w:spacing w:line="540" w:lineRule="exact"/>
        <w:ind w:firstLine="643" w:firstLineChars="200"/>
        <w:outlineLvl w:val="2"/>
        <w:rPr>
          <w:rFonts w:ascii="黑体" w:hAnsi="黑体" w:eastAsia="黑体" w:cs="黑体"/>
          <w:b/>
          <w:color w:val="FF0000"/>
          <w:sz w:val="32"/>
          <w:szCs w:val="32"/>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本年未发生此项资金</w:t>
      </w: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60"/>
        <w:rPr>
          <w:rFonts w:ascii="仿宋_GB2312" w:hAnsi="宋体" w:eastAsia="仿宋_GB2312"/>
          <w:sz w:val="32"/>
          <w:szCs w:val="32"/>
        </w:rPr>
      </w:pPr>
      <w:r>
        <w:rPr>
          <w:rFonts w:ascii="仿宋_GB2312" w:hAnsi="宋体" w:eastAsia="仿宋_GB2312"/>
          <w:sz w:val="32"/>
          <w:szCs w:val="32"/>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2022年度一般公共预算财政拨款基本支出0.1万元，其中：人员经费0.1万元，主要包括基本工资、津贴补贴、奖金、其他社会保障缴费、机关事业单位基本养老保险缴费、其他工资福利支出、离休费、退休费、抚恤金、生活补助、奖励金、住房公积金、采暖补贴、其他对个人和家庭补助的支出；日常公用经费0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ascii="仿宋_GB2312" w:eastAsia="仿宋_GB2312"/>
          <w:sz w:val="32"/>
        </w:rPr>
      </w:pPr>
      <w:r>
        <w:rPr>
          <w:rFonts w:ascii="仿宋_GB2312" w:eastAsia="仿宋_GB2312"/>
          <w:sz w:val="32"/>
        </w:rPr>
        <w:t>2022年度机关运行经费支出0万元，与上年持平，主要原因是沈阳市浑南区第一小学幼儿园属于事业单位，无机关运行经费。</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spacing w:line="54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3" w:firstLineChars="200"/>
        <w:rPr>
          <w:rFonts w:ascii="楷体_GB2312" w:eastAsia="楷体_GB2312"/>
          <w:b/>
          <w:sz w:val="32"/>
        </w:rPr>
      </w:pPr>
      <w:r>
        <w:rPr>
          <w:rFonts w:ascii="楷体_GB2312" w:eastAsia="楷体_GB2312"/>
          <w:b/>
          <w:sz w:val="32"/>
        </w:rPr>
        <w:t>（三）国有资产占用情况。</w:t>
      </w:r>
    </w:p>
    <w:p>
      <w:pPr>
        <w:pStyle w:val="6"/>
        <w:spacing w:line="560" w:lineRule="exact"/>
        <w:ind w:firstLine="640" w:firstLineChars="200"/>
        <w:rPr>
          <w:rFonts w:hint="default" w:ascii="仿宋_GB2312" w:eastAsia="仿宋_GB2312"/>
          <w:sz w:val="32"/>
        </w:rPr>
      </w:pPr>
      <w:r>
        <w:rPr>
          <w:rFonts w:ascii="仿宋_GB2312" w:eastAsia="仿宋_GB2312"/>
          <w:sz w:val="32"/>
        </w:rPr>
        <w:t>截至2022年12月31日，共有车辆0辆，其中：副省级以上领导干部用车0辆，主要领导干部用车0辆，机要通讯用车0辆，应急保障用车0辆，执法执勤用车0辆，特种专业技术用车0辆，离退休干部用车0辆，其他用车0辆；单位价值50万元以上通用设备0台（套），单价100万元以上专用设备0台（套）。</w:t>
      </w:r>
    </w:p>
    <w:p>
      <w:pPr>
        <w:pStyle w:val="6"/>
        <w:spacing w:line="560" w:lineRule="exact"/>
        <w:ind w:firstLine="640"/>
        <w:rPr>
          <w:rFonts w:ascii="楷体_GB2312" w:eastAsia="楷体_GB2312"/>
          <w:b/>
          <w:sz w:val="32"/>
        </w:rPr>
      </w:pPr>
      <w:r>
        <w:rPr>
          <w:rFonts w:ascii="楷体_GB2312" w:eastAsia="楷体_GB2312"/>
          <w:b/>
          <w:sz w:val="32"/>
        </w:rPr>
        <w:t>（四）预算绩效管理工作开展情况。</w:t>
      </w:r>
    </w:p>
    <w:p>
      <w:pPr>
        <w:widowControl/>
        <w:spacing w:line="520" w:lineRule="exact"/>
        <w:ind w:left="420" w:leftChars="200" w:firstLine="320" w:firstLineChars="100"/>
        <w:jc w:val="left"/>
        <w:rPr>
          <w:rFonts w:hint="default" w:ascii="仿宋_GB2312" w:hAnsi="宋体" w:eastAsia="仿宋_GB2312" w:cs="仿宋_GB2312"/>
          <w:sz w:val="32"/>
          <w:szCs w:val="32"/>
          <w:lang w:bidi="ar"/>
        </w:rPr>
      </w:pPr>
      <w:r>
        <w:rPr>
          <w:rFonts w:ascii="仿宋_GB2312" w:hAnsi="黑体" w:eastAsia="仿宋_GB2312" w:cs="Times New Roman"/>
          <w:sz w:val="32"/>
          <w:szCs w:val="32"/>
        </w:rPr>
        <w:t>2022年不涉及</w:t>
      </w:r>
      <w:r>
        <w:rPr>
          <w:rFonts w:hint="eastAsia" w:ascii="仿宋_GB2312" w:hAnsi="黑体" w:eastAsia="仿宋_GB2312" w:cs="Times New Roman"/>
          <w:sz w:val="32"/>
          <w:szCs w:val="32"/>
          <w:lang w:eastAsia="zh-CN"/>
        </w:rPr>
        <w:t>特定目标类</w:t>
      </w:r>
      <w:r>
        <w:rPr>
          <w:rFonts w:ascii="仿宋_GB2312" w:hAnsi="黑体" w:eastAsia="仿宋_GB2312" w:cs="Times New Roman"/>
          <w:sz w:val="32"/>
          <w:szCs w:val="32"/>
        </w:rPr>
        <w:t>民生项目和重点支出项目。</w:t>
      </w:r>
    </w:p>
    <w:p>
      <w:pPr>
        <w:pStyle w:val="6"/>
        <w:spacing w:line="560" w:lineRule="exact"/>
        <w:ind w:firstLine="640"/>
        <w:rPr>
          <w:rFonts w:ascii="楷体_GB2312" w:eastAsia="楷体_GB2312"/>
          <w:b/>
          <w:sz w:val="32"/>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3" w:type="default"/>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ascii="仿宋_GB2312" w:hAnsi="仿宋_GB2312" w:eastAsia="仿宋_GB2312" w:cs="仿宋_GB2312"/>
          <w:b/>
          <w:sz w:val="52"/>
          <w:szCs w:val="52"/>
        </w:rPr>
      </w:pPr>
      <w:r>
        <w:rPr>
          <w:rFonts w:ascii="仿宋_GB2312" w:hAnsi="仿宋_GB2312" w:eastAsia="仿宋_GB2312" w:cs="仿宋_GB2312"/>
          <w:b/>
          <w:sz w:val="52"/>
          <w:szCs w:val="52"/>
        </w:rPr>
        <w:t>第四部分</w:t>
      </w:r>
    </w:p>
    <w:p>
      <w:pPr>
        <w:pStyle w:val="6"/>
        <w:spacing w:line="560" w:lineRule="atLeast"/>
        <w:jc w:val="center"/>
        <w:rPr>
          <w:rFonts w:hint="default"/>
          <w:b/>
          <w:sz w:val="36"/>
        </w:rPr>
      </w:pPr>
      <w:r>
        <w:rPr>
          <w:rFonts w:ascii="仿宋_GB2312" w:hAnsi="仿宋_GB2312" w:eastAsia="仿宋_GB2312" w:cs="仿宋_GB2312"/>
          <w:b/>
          <w:sz w:val="52"/>
          <w:szCs w:val="52"/>
        </w:rPr>
        <w:t>辽宁省沈阳市浑南区第一小学幼儿园2022年度决算表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numPr>
          <w:ilvl w:val="0"/>
          <w:numId w:val="3"/>
        </w:numPr>
        <w:jc w:val="center"/>
        <w:rPr>
          <w:rFonts w:hint="default" w:ascii="宋体" w:hAnsi="宋体"/>
          <w:b/>
          <w:sz w:val="52"/>
          <w:szCs w:val="52"/>
        </w:rPr>
      </w:pPr>
      <w:r>
        <w:rPr>
          <w:rFonts w:ascii="宋体" w:hAnsi="宋体"/>
          <w:b/>
          <w:sz w:val="52"/>
          <w:szCs w:val="52"/>
        </w:rPr>
        <w:t xml:space="preserve">  附件</w:t>
      </w:r>
    </w:p>
    <w:p>
      <w:pPr>
        <w:jc w:val="center"/>
        <w:rPr>
          <w:rFonts w:hint="default" w:ascii="宋体" w:hAnsi="宋体"/>
          <w:b/>
          <w:sz w:val="52"/>
          <w:szCs w:val="52"/>
        </w:rPr>
      </w:pPr>
    </w:p>
    <w:p>
      <w:pPr>
        <w:jc w:val="center"/>
        <w:rPr>
          <w:rFonts w:hint="default" w:ascii="宋体" w:hAnsi="宋体"/>
          <w:b/>
          <w:sz w:val="52"/>
          <w:szCs w:val="52"/>
        </w:rPr>
      </w:pPr>
    </w:p>
    <w:p>
      <w:pPr>
        <w:jc w:val="center"/>
        <w:rPr>
          <w:rFonts w:hint="default" w:ascii="宋体" w:hAnsi="宋体"/>
          <w:b/>
          <w:sz w:val="52"/>
          <w:szCs w:val="52"/>
        </w:rPr>
      </w:pPr>
    </w:p>
    <w:p>
      <w:pPr>
        <w:rPr>
          <w:rFonts w:hint="default" w:ascii="仿宋_GB2312" w:hAnsi="宋体" w:eastAsia="仿宋_GB2312"/>
          <w:kern w:val="0"/>
          <w:sz w:val="32"/>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0000000000000000000"/>
    <w:charset w:val="00"/>
    <w:family w:val="auto"/>
    <w:pitch w:val="default"/>
    <w:sig w:usb0="00000000" w:usb1="00000000" w:usb2="00000000" w:usb3="00000000" w:csb0="0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C5CA75"/>
    <w:multiLevelType w:val="singleLevel"/>
    <w:tmpl w:val="ABC5CA75"/>
    <w:lvl w:ilvl="0" w:tentative="0">
      <w:start w:val="1"/>
      <w:numFmt w:val="chineseCounting"/>
      <w:suff w:val="nothing"/>
      <w:lvlText w:val="%1、"/>
      <w:lvlJc w:val="left"/>
      <w:rPr>
        <w:rFonts w:hint="eastAsia"/>
      </w:rPr>
    </w:lvl>
  </w:abstractNum>
  <w:abstractNum w:abstractNumId="1">
    <w:nsid w:val="E3407A79"/>
    <w:multiLevelType w:val="singleLevel"/>
    <w:tmpl w:val="E3407A79"/>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40278"/>
    <w:rsid w:val="00060165"/>
    <w:rsid w:val="00071175"/>
    <w:rsid w:val="000B596F"/>
    <w:rsid w:val="000D3CDD"/>
    <w:rsid w:val="00100607"/>
    <w:rsid w:val="001D0B4A"/>
    <w:rsid w:val="001D5C6D"/>
    <w:rsid w:val="002B2FCD"/>
    <w:rsid w:val="002E44F3"/>
    <w:rsid w:val="00320394"/>
    <w:rsid w:val="003271E7"/>
    <w:rsid w:val="00342E31"/>
    <w:rsid w:val="0038444A"/>
    <w:rsid w:val="00386206"/>
    <w:rsid w:val="00387684"/>
    <w:rsid w:val="003E797C"/>
    <w:rsid w:val="0044142C"/>
    <w:rsid w:val="004742F0"/>
    <w:rsid w:val="00485722"/>
    <w:rsid w:val="004A47B3"/>
    <w:rsid w:val="004E4573"/>
    <w:rsid w:val="00505889"/>
    <w:rsid w:val="005249E8"/>
    <w:rsid w:val="005812D3"/>
    <w:rsid w:val="005814A4"/>
    <w:rsid w:val="00590A8D"/>
    <w:rsid w:val="005C4DCE"/>
    <w:rsid w:val="00717E53"/>
    <w:rsid w:val="00753B9D"/>
    <w:rsid w:val="00756329"/>
    <w:rsid w:val="0077052C"/>
    <w:rsid w:val="00777665"/>
    <w:rsid w:val="007F29ED"/>
    <w:rsid w:val="007F77B9"/>
    <w:rsid w:val="008040A1"/>
    <w:rsid w:val="0093389A"/>
    <w:rsid w:val="00954778"/>
    <w:rsid w:val="00A17144"/>
    <w:rsid w:val="00A5357A"/>
    <w:rsid w:val="00A57A14"/>
    <w:rsid w:val="00A65650"/>
    <w:rsid w:val="00AF5D42"/>
    <w:rsid w:val="00B54181"/>
    <w:rsid w:val="00BC09C4"/>
    <w:rsid w:val="00DC3915"/>
    <w:rsid w:val="00E4305D"/>
    <w:rsid w:val="00EB21F0"/>
    <w:rsid w:val="00F030CF"/>
    <w:rsid w:val="00F153A5"/>
    <w:rsid w:val="00F16B2B"/>
    <w:rsid w:val="00F67249"/>
    <w:rsid w:val="00F724E9"/>
    <w:rsid w:val="01622E76"/>
    <w:rsid w:val="082C6248"/>
    <w:rsid w:val="09C4782E"/>
    <w:rsid w:val="0ECB7368"/>
    <w:rsid w:val="0FD91C07"/>
    <w:rsid w:val="11612EA5"/>
    <w:rsid w:val="12CC5588"/>
    <w:rsid w:val="131E2240"/>
    <w:rsid w:val="14E87287"/>
    <w:rsid w:val="1B9703C5"/>
    <w:rsid w:val="1C635C29"/>
    <w:rsid w:val="1C6537BA"/>
    <w:rsid w:val="286C4199"/>
    <w:rsid w:val="28977847"/>
    <w:rsid w:val="2A3D2189"/>
    <w:rsid w:val="2E4F6256"/>
    <w:rsid w:val="36230505"/>
    <w:rsid w:val="3BA207ED"/>
    <w:rsid w:val="43ED4466"/>
    <w:rsid w:val="46CA2860"/>
    <w:rsid w:val="474C6DD1"/>
    <w:rsid w:val="53FC2587"/>
    <w:rsid w:val="54F6469B"/>
    <w:rsid w:val="59C52B8D"/>
    <w:rsid w:val="5AE973A2"/>
    <w:rsid w:val="5B697371"/>
    <w:rsid w:val="67277FC8"/>
    <w:rsid w:val="673C6F2C"/>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12</Pages>
  <Words>3654</Words>
  <Characters>3924</Characters>
  <Lines>3</Lines>
  <Paragraphs>8</Paragraphs>
  <TotalTime>0</TotalTime>
  <ScaleCrop>false</ScaleCrop>
  <LinksUpToDate>false</LinksUpToDate>
  <CharactersWithSpaces>3960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2023-09-15T08:24:14Z</dcterms:modified>
  <cp:revision>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D8C3D86190044CF79FC5E9FC38194C98_13</vt:lpwstr>
  </property>
</Properties>
</file>