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color w:val="FF0000"/>
          <w:sz w:val="52"/>
          <w:szCs w:val="52"/>
        </w:rPr>
      </w:pPr>
      <w:r>
        <w:rPr>
          <w:rFonts w:ascii="宋体" w:hAnsi="宋体"/>
          <w:b/>
          <w:sz w:val="52"/>
          <w:szCs w:val="52"/>
        </w:rPr>
        <w:t>沈阳市浑南区英达中学2022决算说明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沈阳市浑南区英达中学概况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hAnsi="方正仿宋_GB2312" w:eastAsia="仿宋_GB2312" w:cs="方正仿宋_GB2312"/>
          <w:sz w:val="32"/>
        </w:rPr>
      </w:pPr>
      <w:r>
        <w:rPr>
          <w:rFonts w:ascii="仿宋_GB2312" w:hAnsi="方正仿宋_GB2312" w:eastAsia="仿宋_GB2312" w:cs="方正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pPr>
        <w:pStyle w:val="6"/>
        <w:spacing w:line="560" w:lineRule="exact"/>
        <w:ind w:firstLine="640"/>
        <w:rPr>
          <w:rFonts w:hint="default" w:ascii="仿宋_GB2312" w:hAnsi="方正仿宋_GB2312" w:eastAsia="仿宋_GB2312" w:cs="方正仿宋_GB2312"/>
          <w:sz w:val="32"/>
        </w:rPr>
      </w:pPr>
      <w:r>
        <w:rPr>
          <w:rFonts w:ascii="仿宋_GB2312" w:hAnsi="方正仿宋_GB2312" w:eastAsia="仿宋_GB2312" w:cs="方正仿宋_GB2312"/>
          <w:sz w:val="32"/>
        </w:rPr>
        <w:t>（二）起草本市财政、财务、会计管理的地方性法规和市政府规章草案，研究我市经济社会中的财税重大问题，围绕市委、市政府中心工作提出改进和完善政府管理、提高财政资金使用效益的建议。</w:t>
      </w:r>
    </w:p>
    <w:p>
      <w:pPr>
        <w:ind w:firstLine="640" w:firstLineChars="200"/>
        <w:rPr>
          <w:rFonts w:hint="default" w:ascii="仿宋_GB2312" w:hAnsi="方正仿宋_GB2312" w:eastAsia="仿宋_GB2312" w:cs="方正仿宋_GB2312"/>
          <w:sz w:val="32"/>
        </w:rPr>
      </w:pPr>
      <w:r>
        <w:rPr>
          <w:rFonts w:ascii="仿宋_GB2312" w:hAnsi="方正仿宋_GB2312" w:eastAsia="仿宋_GB2312" w:cs="方正仿宋_GB2312"/>
          <w:sz w:val="32"/>
        </w:rPr>
        <w:t>贯彻执行国家教育方针、政策和有关法律、法规、规章及省有关要求，实施义务教育，</w:t>
      </w:r>
      <w:r>
        <w:rPr>
          <w:rFonts w:ascii="仿宋_GB2312" w:hAnsi="方正仿宋_GB2312" w:eastAsia="仿宋_GB2312" w:cs="方正仿宋_GB2312"/>
          <w:kern w:val="0"/>
          <w:sz w:val="32"/>
          <w:szCs w:val="32"/>
        </w:rPr>
        <w:t>全面贯彻国家教育方针，即教育必须为社会主义现代化建设服务、为人民服务，必须与生产劳动和社会实践相结合，培养德、智、体、美等方面全面发展的社会主义建设者和接班人。</w:t>
      </w:r>
    </w:p>
    <w:p>
      <w:pPr>
        <w:pStyle w:val="6"/>
        <w:spacing w:line="560" w:lineRule="exact"/>
        <w:ind w:firstLine="640"/>
        <w:rPr>
          <w:rFonts w:hint="default" w:ascii="仿宋_GB2312" w:hAnsi="仿宋" w:eastAsia="仿宋_GB2312" w:cs="仿宋"/>
          <w:sz w:val="32"/>
        </w:rPr>
      </w:pP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sz w:val="32"/>
          <w:szCs w:val="32"/>
        </w:rPr>
      </w:pPr>
      <w:r>
        <w:rPr>
          <w:rFonts w:ascii="仿宋_GB2312" w:hAnsi="仿宋_GB2312" w:eastAsia="仿宋_GB2312" w:cs="仿宋_GB2312"/>
          <w:sz w:val="32"/>
          <w:szCs w:val="32"/>
        </w:rPr>
        <w:t>沈阳市浑南区英达中学纳入浑南区教育局2022年决算编制范围的二级预算单位，本单位无下设机构</w:t>
      </w:r>
    </w:p>
    <w:p>
      <w:pPr>
        <w:pStyle w:val="6"/>
        <w:spacing w:line="560" w:lineRule="exact"/>
        <w:rPr>
          <w:rFonts w:hint="default" w:ascii="仿宋_GB2312" w:eastAsia="仿宋_GB2312"/>
          <w:sz w:val="36"/>
        </w:rPr>
      </w:pPr>
    </w:p>
    <w:p>
      <w:pPr>
        <w:pStyle w:val="6"/>
        <w:spacing w:line="560" w:lineRule="exact"/>
        <w:rPr>
          <w:rFonts w:hint="default" w:ascii="仿宋_GB2312" w:eastAsia="仿宋_GB2312"/>
          <w:sz w:val="36"/>
        </w:rPr>
      </w:pPr>
    </w:p>
    <w:p>
      <w:pPr>
        <w:pStyle w:val="6"/>
        <w:spacing w:line="560" w:lineRule="exact"/>
        <w:jc w:val="center"/>
        <w:rPr>
          <w:rFonts w:hint="default"/>
          <w:b/>
          <w:sz w:val="36"/>
        </w:rPr>
      </w:pPr>
      <w:r>
        <w:rPr>
          <w:b/>
          <w:sz w:val="36"/>
        </w:rPr>
        <w:t>第二部分 沈阳市浑南区英达中学2022年决算情况说明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（一）收入总计608.12万元</w:t>
      </w:r>
    </w:p>
    <w:p>
      <w:pPr>
        <w:pStyle w:val="6"/>
        <w:spacing w:line="560" w:lineRule="exact"/>
        <w:ind w:firstLine="660"/>
        <w:rPr>
          <w:rFonts w:hint="default" w:ascii="仿宋_GB2312" w:eastAsia="仿宋_GB2312" w:hAnsiTheme="minorEastAsia"/>
          <w:sz w:val="32"/>
        </w:rPr>
      </w:pPr>
      <w:r>
        <w:rPr>
          <w:rFonts w:ascii="仿宋_GB2312" w:eastAsia="仿宋_GB2312" w:hAnsiTheme="minorEastAsia"/>
          <w:sz w:val="32"/>
        </w:rPr>
        <w:t>1.财政拨款收入592.33万元，占收入总计的97.40%。其中：一般公共预算财政拨款收入592.33万元，政府性基金收入0万元，国有资本经营预算财政拨款收入0万元。</w:t>
      </w:r>
    </w:p>
    <w:p>
      <w:pPr>
        <w:pStyle w:val="6"/>
        <w:spacing w:line="560" w:lineRule="exact"/>
        <w:ind w:firstLine="660"/>
        <w:rPr>
          <w:rFonts w:hint="default" w:ascii="仿宋_GB2312" w:eastAsia="仿宋_GB2312" w:hAnsiTheme="minorEastAsia"/>
          <w:sz w:val="32"/>
        </w:rPr>
      </w:pPr>
      <w:r>
        <w:rPr>
          <w:rFonts w:ascii="仿宋_GB2312" w:eastAsia="仿宋_GB2312" w:hAnsiTheme="minorEastAsia"/>
          <w:sz w:val="32"/>
        </w:rPr>
        <w:t>2.其他收入0.08万元，占收入总计的0.01%。主要是绩效工资等收入。</w:t>
      </w:r>
    </w:p>
    <w:p>
      <w:pPr>
        <w:pStyle w:val="6"/>
        <w:spacing w:line="560" w:lineRule="exact"/>
        <w:ind w:firstLine="660"/>
        <w:rPr>
          <w:rFonts w:hint="default" w:ascii="仿宋_GB2312" w:eastAsia="仿宋_GB2312" w:hAnsiTheme="minorEastAsia"/>
          <w:sz w:val="32"/>
        </w:rPr>
      </w:pPr>
      <w:r>
        <w:rPr>
          <w:rFonts w:ascii="仿宋_GB2312" w:eastAsia="仿宋_GB2312" w:hAnsiTheme="minorEastAsia"/>
          <w:sz w:val="32"/>
        </w:rPr>
        <w:t>3.上年结转和结余15.71万元，占收入总计的2.60%。主要是小学教育等。</w:t>
      </w:r>
    </w:p>
    <w:p>
      <w:pPr>
        <w:pStyle w:val="6"/>
        <w:spacing w:line="560" w:lineRule="exact"/>
        <w:ind w:firstLine="660"/>
        <w:rPr>
          <w:rFonts w:hint="default" w:ascii="仿宋_GB2312" w:eastAsia="仿宋_GB2312" w:hAnsiTheme="minorEastAsia"/>
          <w:sz w:val="32"/>
        </w:rPr>
      </w:pPr>
      <w:r>
        <w:rPr>
          <w:rFonts w:ascii="仿宋_GB2312" w:eastAsia="仿宋_GB2312" w:hAnsiTheme="minorEastAsia"/>
          <w:sz w:val="32"/>
        </w:rPr>
        <w:t>与上年相比，今年收入减少254.16万元，减少29.48%，主要原因：</w:t>
      </w:r>
      <w:r>
        <w:rPr>
          <w:rFonts w:ascii="仿宋_GB2312" w:eastAsia="仿宋_GB2312" w:cs="仿宋" w:hAnsiTheme="minorEastAsia"/>
          <w:sz w:val="32"/>
        </w:rPr>
        <w:t>一是人员工资调整；二是</w:t>
      </w:r>
      <w:r>
        <w:rPr>
          <w:rFonts w:ascii="仿宋_GB2312" w:eastAsia="仿宋_GB2312" w:hAnsiTheme="minorEastAsia"/>
          <w:sz w:val="32"/>
        </w:rPr>
        <w:t>项目增加。</w:t>
      </w:r>
    </w:p>
    <w:p>
      <w:pPr>
        <w:pStyle w:val="6"/>
        <w:spacing w:line="560" w:lineRule="exact"/>
        <w:ind w:firstLine="660"/>
        <w:rPr>
          <w:rFonts w:hint="default" w:ascii="楷体_GB2312" w:eastAsia="楷体_GB2312"/>
          <w:b/>
          <w:sz w:val="32"/>
        </w:rPr>
      </w:pPr>
      <w:r>
        <w:rPr>
          <w:rFonts w:ascii="楷体_GB2312" w:eastAsia="楷体_GB2312"/>
          <w:b/>
          <w:sz w:val="32"/>
        </w:rPr>
        <w:t>（二）支出总计596.68万元</w:t>
      </w:r>
    </w:p>
    <w:p>
      <w:pPr>
        <w:pStyle w:val="6"/>
        <w:spacing w:line="560" w:lineRule="exact"/>
        <w:ind w:firstLine="660"/>
        <w:rPr>
          <w:rFonts w:hint="default" w:ascii="仿宋_GB2312" w:eastAsia="仿宋_GB2312" w:hAnsiTheme="minorEastAsia"/>
          <w:sz w:val="32"/>
        </w:rPr>
      </w:pPr>
      <w:r>
        <w:rPr>
          <w:rFonts w:ascii="仿宋_GB2312" w:eastAsia="仿宋_GB2312" w:hAnsiTheme="minorEastAsia"/>
          <w:sz w:val="32"/>
        </w:rPr>
        <w:t>1.基本支出538.76万元，占支出总计的90.29%。主要是为保障机构正常运转、完成日常工作任务而发生的各项支出，其中：工资福利支出523.40万元，对个人和家庭的补助支出6.39万元，商品和服务支出8.97万元，资本性支出0万元。</w:t>
      </w:r>
    </w:p>
    <w:p>
      <w:pPr>
        <w:pStyle w:val="6"/>
        <w:spacing w:line="560" w:lineRule="exact"/>
        <w:ind w:firstLine="660"/>
        <w:rPr>
          <w:rFonts w:hint="default" w:ascii="仿宋_GB2312" w:eastAsia="仿宋_GB2312" w:hAnsiTheme="minorEastAsia"/>
          <w:sz w:val="32"/>
        </w:rPr>
      </w:pPr>
      <w:r>
        <w:rPr>
          <w:rFonts w:ascii="仿宋_GB2312" w:eastAsia="仿宋_GB2312" w:hAnsiTheme="minorEastAsia"/>
          <w:sz w:val="32"/>
        </w:rPr>
        <w:t xml:space="preserve">2.项目支出53.57万元，占支出总计的8.98%。主要包括电采暖费等业务支出。 </w:t>
      </w:r>
    </w:p>
    <w:p>
      <w:pPr>
        <w:pStyle w:val="6"/>
        <w:spacing w:line="560" w:lineRule="exact"/>
        <w:ind w:firstLine="660"/>
        <w:rPr>
          <w:rFonts w:hint="default" w:ascii="仿宋_GB2312" w:eastAsia="仿宋_GB2312" w:cs="黑体" w:hAnsiTheme="minorEastAsia"/>
          <w:b/>
          <w:bCs/>
          <w:color w:val="FF0000"/>
          <w:sz w:val="32"/>
          <w:szCs w:val="32"/>
        </w:rPr>
      </w:pPr>
      <w:r>
        <w:rPr>
          <w:rFonts w:ascii="仿宋_GB2312" w:eastAsia="仿宋_GB2312" w:hAnsiTheme="minorEastAsia"/>
          <w:sz w:val="32"/>
        </w:rPr>
        <w:t>与上年相比，今年支出减少254.15万元，减少29.87%，主要原因：</w:t>
      </w:r>
      <w:r>
        <w:rPr>
          <w:rFonts w:ascii="仿宋_GB2312" w:eastAsia="仿宋_GB2312" w:cs="仿宋" w:hAnsiTheme="minorEastAsia"/>
          <w:sz w:val="32"/>
        </w:rPr>
        <w:t>一是人员工资调整；二是</w:t>
      </w:r>
      <w:r>
        <w:rPr>
          <w:rFonts w:ascii="仿宋_GB2312" w:eastAsia="仿宋_GB2312" w:hAnsiTheme="minorEastAsia"/>
          <w:sz w:val="32"/>
        </w:rPr>
        <w:t>项目增加。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（三）年末结转和结余11.44万元</w:t>
      </w:r>
    </w:p>
    <w:p>
      <w:pPr>
        <w:pStyle w:val="6"/>
        <w:spacing w:line="560" w:lineRule="exact"/>
        <w:ind w:firstLine="660"/>
        <w:rPr>
          <w:rFonts w:hint="default" w:ascii="仿宋_GB2312" w:eastAsia="仿宋_GB2312"/>
          <w:sz w:val="32"/>
        </w:rPr>
      </w:pPr>
      <w:r>
        <w:rPr>
          <w:rFonts w:ascii="仿宋_GB2312" w:eastAsia="仿宋_GB2312"/>
          <w:sz w:val="32"/>
        </w:rPr>
        <w:t>主要是事业基金等原因形成的结余。与上年相比，没有变化。</w:t>
      </w:r>
    </w:p>
    <w:p>
      <w:pPr>
        <w:pStyle w:val="6"/>
        <w:numPr>
          <w:ilvl w:val="0"/>
          <w:numId w:val="1"/>
        </w:numPr>
        <w:spacing w:line="560" w:lineRule="exact"/>
        <w:ind w:firstLine="660"/>
        <w:rPr>
          <w:rFonts w:hint="default" w:ascii="黑体" w:eastAsia="黑体"/>
          <w:sz w:val="32"/>
        </w:rPr>
      </w:pPr>
      <w:r>
        <w:rPr>
          <w:rFonts w:ascii="黑体" w:eastAsia="黑体"/>
          <w:sz w:val="32"/>
        </w:rPr>
        <w:t>财政拨款收入支出决算情况说明</w:t>
      </w:r>
    </w:p>
    <w:p>
      <w:pPr>
        <w:pStyle w:val="6"/>
        <w:spacing w:line="560" w:lineRule="exact"/>
        <w:rPr>
          <w:rFonts w:hint="default" w:ascii="楷体_GB2312" w:eastAsia="楷体_GB2312"/>
          <w:b/>
          <w:sz w:val="32"/>
        </w:rPr>
      </w:pPr>
      <w:r>
        <w:rPr>
          <w:rFonts w:ascii="楷体_GB2312" w:eastAsia="楷体_GB2312"/>
          <w:b/>
          <w:sz w:val="32"/>
        </w:rPr>
        <w:t>（一）总体情况</w:t>
      </w:r>
    </w:p>
    <w:p>
      <w:pPr>
        <w:spacing w:line="540" w:lineRule="exact"/>
        <w:ind w:firstLine="660"/>
        <w:rPr>
          <w:rFonts w:hint="default" w:ascii="仿宋_GB2312" w:hAnsi="宋体" w:eastAsia="仿宋_GB2312"/>
          <w:sz w:val="32"/>
          <w:szCs w:val="32"/>
        </w:rPr>
      </w:pPr>
      <w:r>
        <w:rPr>
          <w:rFonts w:ascii="仿宋_GB2312" w:eastAsia="仿宋_GB2312"/>
          <w:sz w:val="32"/>
        </w:rPr>
        <w:t>2022年度财政拨款支出592.33万元，其中：基本支出538.76万元，项目支出53.57万元。与上年相比，财政拨款支出减少234.47万元，减少28.36%，主要原因：</w:t>
      </w:r>
      <w:r>
        <w:rPr>
          <w:rFonts w:ascii="仿宋_GB2312" w:hAnsi="仿宋" w:eastAsia="仿宋_GB2312" w:cs="仿宋"/>
          <w:color w:val="000000" w:themeColor="text1"/>
          <w:sz w:val="32"/>
        </w:rPr>
        <w:t>一是人员工资调整；二是项目减少</w:t>
      </w:r>
      <w:r>
        <w:rPr>
          <w:rFonts w:ascii="仿宋_GB2312" w:hAnsi="仿宋" w:eastAsia="仿宋_GB2312" w:cs="仿宋"/>
          <w:sz w:val="32"/>
        </w:rPr>
        <w:t>。</w:t>
      </w:r>
      <w:r>
        <w:rPr>
          <w:rFonts w:ascii="仿宋_GB2312" w:eastAsia="仿宋_GB2312"/>
          <w:sz w:val="32"/>
        </w:rPr>
        <w:t>与年初预算相比，2022年度财政拨款支出完成年初预算的100%，其中：基本支出完成年初预算的100%，</w:t>
      </w:r>
      <w:r>
        <w:rPr>
          <w:rFonts w:ascii="仿宋_GB2312" w:hAnsi="宋体" w:eastAsia="仿宋_GB2312"/>
          <w:sz w:val="32"/>
          <w:szCs w:val="32"/>
        </w:rPr>
        <w:t>学校没有单独安排项目支出年初预算，由教育局统一安排。</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pStyle w:val="6"/>
        <w:spacing w:line="560" w:lineRule="atLeast"/>
        <w:ind w:firstLine="660"/>
        <w:rPr>
          <w:rFonts w:hint="default" w:ascii="仿宋_GB2312" w:eastAsia="仿宋_GB2312"/>
          <w:sz w:val="32"/>
          <w:szCs w:val="32"/>
          <w:highlight w:val="yellow"/>
        </w:rPr>
      </w:pPr>
      <w:r>
        <w:rPr>
          <w:rFonts w:ascii="仿宋_GB2312" w:eastAsia="仿宋_GB2312"/>
          <w:sz w:val="32"/>
          <w:szCs w:val="32"/>
        </w:rPr>
        <w:t>2022年度一般公共预算财政拨款支出592.33万元，包括：教育支出497.16万元，占83.93%，社会保障与就业支出69.50万元，占11.73%，卫生健康支出25.67万元，占4.34%。</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1.教育支出497.16万元，具体包括：</w:t>
      </w:r>
    </w:p>
    <w:p>
      <w:pPr>
        <w:pStyle w:val="6"/>
        <w:spacing w:line="560" w:lineRule="atLeast"/>
        <w:ind w:firstLine="660"/>
        <w:rPr>
          <w:rFonts w:hint="default" w:ascii="仿宋_GB2312" w:eastAsia="仿宋_GB2312"/>
          <w:sz w:val="32"/>
          <w:szCs w:val="32"/>
        </w:rPr>
      </w:pPr>
      <w:r>
        <w:rPr>
          <w:rFonts w:ascii="仿宋_GB2312" w:eastAsia="仿宋_GB2312"/>
          <w:sz w:val="32"/>
          <w:szCs w:val="32"/>
        </w:rPr>
        <w:t>（1）教育支出497.16万元，主要用于人员工资、办公费、维修费、水电费等商品服务支出支出。完成年初预算的100%，决算数等于年初预算数，原因是本年度人员等没有发生变化。</w:t>
      </w:r>
    </w:p>
    <w:p>
      <w:pPr>
        <w:pStyle w:val="6"/>
        <w:spacing w:line="560" w:lineRule="atLeast"/>
        <w:ind w:firstLine="660"/>
        <w:rPr>
          <w:rFonts w:hint="default" w:ascii="仿宋_GB2312" w:eastAsia="仿宋_GB2312"/>
          <w:sz w:val="32"/>
          <w:szCs w:val="32"/>
        </w:rPr>
      </w:pPr>
      <w:r>
        <w:rPr>
          <w:rFonts w:ascii="仿宋_GB2312" w:eastAsia="仿宋_GB2312"/>
          <w:sz w:val="32"/>
          <w:szCs w:val="32"/>
        </w:rPr>
        <w:t>2.社会保障与就业支出69.50万元，包括：养老支出106.91万元。完成年初预算的100%，决算数等于年初预算数，原因是本年度人员等没有变化。</w:t>
      </w:r>
    </w:p>
    <w:p>
      <w:pPr>
        <w:pStyle w:val="6"/>
        <w:spacing w:line="560" w:lineRule="atLeast"/>
        <w:ind w:firstLine="660"/>
        <w:rPr>
          <w:rFonts w:hint="default" w:ascii="仿宋_GB2312" w:eastAsia="仿宋_GB2312"/>
          <w:sz w:val="32"/>
          <w:szCs w:val="32"/>
        </w:rPr>
      </w:pPr>
      <w:bookmarkStart w:id="0" w:name="_GoBack"/>
      <w:bookmarkEnd w:id="0"/>
      <w:r>
        <w:rPr>
          <w:rFonts w:ascii="仿宋_GB2312" w:eastAsia="仿宋_GB2312"/>
          <w:sz w:val="32"/>
          <w:szCs w:val="32"/>
        </w:rPr>
        <w:t>3、卫生健康支出25.67万元，包括：单位医疗支出25.67万元。人员工资及保险完成年初预算的100%，决算数大于年初预算数的原因是按照实际情况执行。</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w:t>
      </w:r>
      <w:r>
        <w:rPr>
          <w:rFonts w:ascii="仿宋_GB2312" w:hAnsi="黑体" w:eastAsia="仿宋_GB2312" w:cs="黑体"/>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 xml:space="preserve">（四）国有资本经营预算财政拨款支出情况  </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2022年度国有资本经营预算财政拨款支出0万元。</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2022年度一般公共预算财政拨款安排的“三公”经费支出0万元，未安排年初预算，决算数等于年初预算数的主要原因是无此任务。其中：因公出国（境）费0万元，公务接待费0万元，公务用车购置及运行维护费0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1.因公出国（境）费0万元，未安排年初预算，决算数等于年初预算数的主要原因是无此任务。2022年参加出国（境）团组0个，累计0人次</w:t>
      </w:r>
      <w:r>
        <w:rPr>
          <w:rFonts w:ascii="仿宋_GB2312" w:hAnsi="Times New Roman" w:eastAsia="仿宋_GB2312" w:cs="Times New Roman"/>
          <w:kern w:val="0"/>
          <w:sz w:val="32"/>
          <w:szCs w:val="32"/>
        </w:rPr>
        <w:t>。</w:t>
      </w:r>
      <w:r>
        <w:rPr>
          <w:rFonts w:ascii="仿宋_GB2312" w:eastAsia="仿宋_GB2312"/>
          <w:sz w:val="32"/>
        </w:rPr>
        <w:t>2022年因公出国（境）费比上年减少0万元，下降0%，主要是无出国任务。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2.公务接待费0万元，未安排年初预算，决算数等于年初预算数的主要原因是无此任务。2022年国内公务接待累计0批次、0人、0万元。2022年公务接待费比上年减少0万元，下降0%，主要是无公务招待。</w:t>
      </w:r>
    </w:p>
    <w:p>
      <w:pPr>
        <w:pStyle w:val="6"/>
        <w:spacing w:line="560" w:lineRule="exact"/>
        <w:ind w:firstLine="640" w:firstLineChars="200"/>
        <w:rPr>
          <w:rFonts w:hint="default"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公务用车购置及运行费0万元，未安排年初预算，决算数等于年初预算数的主要原因是无此任务。2022年公务用车购置及运行费比上年减少0万元，下降0%，主要是无公务用车购置。</w:t>
      </w:r>
    </w:p>
    <w:p>
      <w:pPr>
        <w:spacing w:line="540" w:lineRule="exact"/>
        <w:ind w:firstLine="645"/>
        <w:rPr>
          <w:rFonts w:hint="default" w:ascii="仿宋_GB2312" w:eastAsia="仿宋_GB2312"/>
          <w:sz w:val="32"/>
        </w:rPr>
      </w:pPr>
      <w:r>
        <w:rPr>
          <w:rFonts w:ascii="仿宋_GB2312" w:hAnsi="宋体" w:eastAsia="仿宋_GB2312"/>
          <w:sz w:val="32"/>
          <w:szCs w:val="32"/>
        </w:rPr>
        <w:t>其中：公务用车购置费0万元，当年购置公务用车0辆。</w:t>
      </w:r>
      <w:r>
        <w:rPr>
          <w:rFonts w:ascii="仿宋_GB2312" w:eastAsia="仿宋_GB2312"/>
          <w:sz w:val="32"/>
        </w:rPr>
        <w:t>未安排年初预算，决算数等于年初预算数的主要原因是无此任务。</w:t>
      </w:r>
    </w:p>
    <w:p>
      <w:pPr>
        <w:spacing w:line="540" w:lineRule="exact"/>
        <w:ind w:firstLine="645"/>
        <w:rPr>
          <w:rFonts w:hint="default" w:ascii="仿宋_GB2312" w:hAnsi="宋体" w:eastAsia="仿宋_GB2312"/>
          <w:color w:val="000000" w:themeColor="text1"/>
          <w:sz w:val="32"/>
          <w:szCs w:val="32"/>
        </w:rPr>
      </w:pPr>
      <w:r>
        <w:rPr>
          <w:rFonts w:ascii="仿宋_GB2312" w:hAnsi="宋体" w:eastAsia="仿宋_GB2312"/>
          <w:sz w:val="32"/>
          <w:szCs w:val="32"/>
        </w:rPr>
        <w:t>公务用车运行维护费0万元，截至年末使用一般公共预算财政拨款开支运行维护费的公务用车保有量0辆。</w:t>
      </w:r>
      <w:r>
        <w:rPr>
          <w:rFonts w:ascii="仿宋_GB2312" w:eastAsia="仿宋_GB2312"/>
          <w:sz w:val="32"/>
        </w:rPr>
        <w:t>未安排年初预算，决算数等于年初预算数的主要原因是无此任务</w:t>
      </w:r>
      <w:r>
        <w:rPr>
          <w:rFonts w:ascii="仿宋_GB2312" w:hAnsi="宋体" w:eastAsia="仿宋_GB2312"/>
          <w:color w:val="000000" w:themeColor="text1"/>
          <w:sz w:val="32"/>
          <w:szCs w:val="32"/>
        </w:rPr>
        <w:t>。</w:t>
      </w:r>
    </w:p>
    <w:p>
      <w:pPr>
        <w:pStyle w:val="6"/>
        <w:spacing w:line="560" w:lineRule="exact"/>
        <w:ind w:firstLine="645"/>
        <w:rPr>
          <w:rFonts w:hint="default" w:ascii="黑体" w:eastAsia="黑体"/>
          <w:color w:val="000000" w:themeColor="text1"/>
          <w:sz w:val="32"/>
        </w:rPr>
      </w:pPr>
      <w:r>
        <w:rPr>
          <w:rFonts w:ascii="黑体" w:eastAsia="黑体"/>
          <w:color w:val="000000" w:themeColor="text1"/>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color w:val="000000" w:themeColor="text1"/>
          <w:sz w:val="32"/>
        </w:rPr>
        <w:t>2022年度一般公共预算财政拨款基本支出538.76万元，其中：人员经费529.79万元，主要包括基本工资、津贴补贴、奖金、其他社会保障缴费、机关事业单位基本养老保险缴费、其他工资福利支出、离休费、退休费、抚恤金、生活补助、奖励金、住房公积金、采暖补贴、其他对个人和家庭补助的支出；日常公用经费8.97万元，主要包括办公费、印刷费、手续费、水费、电费、邮电费、取暖费、物业费、差旅费、因公出国（境）费用、维修（护）费、租赁费、会议费、培训费、公务接待费、劳务费、委托业务费、工会经费、福利费、公务用车运行维护费、其他交通费用、其他</w:t>
      </w:r>
      <w:r>
        <w:rPr>
          <w:rFonts w:ascii="仿宋_GB2312" w:eastAsia="仿宋_GB2312"/>
          <w:sz w:val="32"/>
        </w:rPr>
        <w:t>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color w:val="000000" w:themeColor="text1"/>
          <w:sz w:val="32"/>
        </w:rPr>
        <w:t>2022年度机关运行经费支出0万元</w:t>
      </w:r>
      <w:r>
        <w:rPr>
          <w:rFonts w:ascii="仿宋_GB2312" w:eastAsia="仿宋_GB2312"/>
          <w:sz w:val="32"/>
        </w:rPr>
        <w:t>，比上年决算数增加0万元，增长0%，主要原因是无机关运行经费。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numPr>
          <w:ilvl w:val="0"/>
          <w:numId w:val="2"/>
        </w:numPr>
        <w:spacing w:line="520" w:lineRule="exact"/>
        <w:ind w:firstLine="643" w:firstLineChars="200"/>
        <w:jc w:val="left"/>
        <w:rPr>
          <w:rFonts w:hint="default" w:ascii="楷体_GB2312" w:eastAsia="楷体_GB2312"/>
          <w:b/>
          <w:sz w:val="32"/>
        </w:rPr>
      </w:pPr>
      <w:r>
        <w:rPr>
          <w:rFonts w:ascii="楷体_GB2312" w:eastAsia="楷体_GB2312"/>
          <w:b/>
          <w:sz w:val="32"/>
        </w:rPr>
        <w:t>预算绩效管理工作开展情况。</w:t>
      </w:r>
    </w:p>
    <w:p>
      <w:pPr>
        <w:widowControl/>
        <w:spacing w:line="520" w:lineRule="exact"/>
        <w:ind w:left="420" w:leftChars="200" w:firstLine="321" w:firstLineChars="100"/>
        <w:jc w:val="left"/>
        <w:rPr>
          <w:rFonts w:hint="default" w:ascii="仿宋_GB2312" w:hAnsi="宋体" w:eastAsia="仿宋_GB2312" w:cs="仿宋_GB2312"/>
          <w:sz w:val="32"/>
          <w:szCs w:val="32"/>
        </w:rPr>
      </w:pPr>
      <w:r>
        <w:rPr>
          <w:rFonts w:ascii="楷体_GB2312" w:eastAsia="楷体_GB2312"/>
          <w:b/>
          <w:sz w:val="32"/>
        </w:rPr>
        <w:t xml:space="preserve">  </w:t>
      </w:r>
      <w:r>
        <w:rPr>
          <w:rFonts w:ascii="仿宋_GB2312" w:hAnsi="黑体" w:eastAsia="仿宋_GB2312" w:cs="Times New Roman"/>
          <w:sz w:val="32"/>
          <w:szCs w:val="32"/>
        </w:rPr>
        <w:t>2022年不涉及特定目标类民生项目和重点支出项目。</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沈阳市浑南区英达中学2022年度决算表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3"/>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Arial Unicode MS"/>
    <w:panose1 w:val="00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abstractNum w:abstractNumId="1">
    <w:nsid w:val="520CB7EA"/>
    <w:multiLevelType w:val="singleLevel"/>
    <w:tmpl w:val="520CB7EA"/>
    <w:lvl w:ilvl="0" w:tentative="0">
      <w:start w:val="2"/>
      <w:numFmt w:val="chineseCounting"/>
      <w:suff w:val="nothing"/>
      <w:lvlText w:val="%1、"/>
      <w:lvlJc w:val="left"/>
      <w:rPr>
        <w:rFonts w:hint="eastAsia"/>
      </w:rPr>
    </w:lvl>
  </w:abstractNum>
  <w:abstractNum w:abstractNumId="2">
    <w:nsid w:val="5A94598F"/>
    <w:multiLevelType w:val="singleLevel"/>
    <w:tmpl w:val="5A94598F"/>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60165"/>
    <w:rsid w:val="000B1A10"/>
    <w:rsid w:val="000B596F"/>
    <w:rsid w:val="00100607"/>
    <w:rsid w:val="001040C2"/>
    <w:rsid w:val="001112B6"/>
    <w:rsid w:val="001D0B4A"/>
    <w:rsid w:val="00273C88"/>
    <w:rsid w:val="00320394"/>
    <w:rsid w:val="00342E31"/>
    <w:rsid w:val="0038444A"/>
    <w:rsid w:val="00387684"/>
    <w:rsid w:val="003A4CB2"/>
    <w:rsid w:val="0044142C"/>
    <w:rsid w:val="00485722"/>
    <w:rsid w:val="00505889"/>
    <w:rsid w:val="005812D3"/>
    <w:rsid w:val="005814A4"/>
    <w:rsid w:val="00590A8D"/>
    <w:rsid w:val="005C4DCE"/>
    <w:rsid w:val="00753B9D"/>
    <w:rsid w:val="00756329"/>
    <w:rsid w:val="007F77B9"/>
    <w:rsid w:val="008040A1"/>
    <w:rsid w:val="008655D6"/>
    <w:rsid w:val="008B38A6"/>
    <w:rsid w:val="008F7017"/>
    <w:rsid w:val="00954778"/>
    <w:rsid w:val="00A17144"/>
    <w:rsid w:val="00A5357A"/>
    <w:rsid w:val="00A57A14"/>
    <w:rsid w:val="00B54181"/>
    <w:rsid w:val="00BC09C4"/>
    <w:rsid w:val="00DC3915"/>
    <w:rsid w:val="00E123AD"/>
    <w:rsid w:val="00E4305D"/>
    <w:rsid w:val="00F16B2B"/>
    <w:rsid w:val="00F67249"/>
    <w:rsid w:val="00F724E9"/>
    <w:rsid w:val="01622E76"/>
    <w:rsid w:val="02905FBA"/>
    <w:rsid w:val="03714138"/>
    <w:rsid w:val="05F2227A"/>
    <w:rsid w:val="06C60E3A"/>
    <w:rsid w:val="082C6248"/>
    <w:rsid w:val="09894519"/>
    <w:rsid w:val="09C4782E"/>
    <w:rsid w:val="0ECB7368"/>
    <w:rsid w:val="0FD91C07"/>
    <w:rsid w:val="1024524A"/>
    <w:rsid w:val="10573916"/>
    <w:rsid w:val="11612EA5"/>
    <w:rsid w:val="12CC5588"/>
    <w:rsid w:val="131E2240"/>
    <w:rsid w:val="15901200"/>
    <w:rsid w:val="1A2B77F4"/>
    <w:rsid w:val="1B9703C5"/>
    <w:rsid w:val="1C635C29"/>
    <w:rsid w:val="1C6537BA"/>
    <w:rsid w:val="23627FFE"/>
    <w:rsid w:val="23D031BA"/>
    <w:rsid w:val="25FB51EA"/>
    <w:rsid w:val="274C6FFB"/>
    <w:rsid w:val="286C4199"/>
    <w:rsid w:val="28977847"/>
    <w:rsid w:val="29F81E64"/>
    <w:rsid w:val="2A3D2189"/>
    <w:rsid w:val="2D83355B"/>
    <w:rsid w:val="2E4F6256"/>
    <w:rsid w:val="302E7BFD"/>
    <w:rsid w:val="3060198F"/>
    <w:rsid w:val="33403081"/>
    <w:rsid w:val="348B70ED"/>
    <w:rsid w:val="36230505"/>
    <w:rsid w:val="3AE44164"/>
    <w:rsid w:val="3BA207ED"/>
    <w:rsid w:val="43ED4466"/>
    <w:rsid w:val="461B0978"/>
    <w:rsid w:val="46CA2860"/>
    <w:rsid w:val="474C6DD1"/>
    <w:rsid w:val="47C24D44"/>
    <w:rsid w:val="48417B79"/>
    <w:rsid w:val="4855424B"/>
    <w:rsid w:val="4A182EAB"/>
    <w:rsid w:val="4B9112FF"/>
    <w:rsid w:val="4DEC6B9B"/>
    <w:rsid w:val="537D41E7"/>
    <w:rsid w:val="54F6469B"/>
    <w:rsid w:val="54F77CF7"/>
    <w:rsid w:val="564A3842"/>
    <w:rsid w:val="590D2248"/>
    <w:rsid w:val="59C52B8D"/>
    <w:rsid w:val="5A533C21"/>
    <w:rsid w:val="5AE973A2"/>
    <w:rsid w:val="5B035610"/>
    <w:rsid w:val="5B1C4013"/>
    <w:rsid w:val="5B697371"/>
    <w:rsid w:val="5B7455CD"/>
    <w:rsid w:val="5B9812A3"/>
    <w:rsid w:val="5C2010F9"/>
    <w:rsid w:val="5D683C78"/>
    <w:rsid w:val="67277FC8"/>
    <w:rsid w:val="673C6F2C"/>
    <w:rsid w:val="67484221"/>
    <w:rsid w:val="67732260"/>
    <w:rsid w:val="69D02B99"/>
    <w:rsid w:val="6CF65F58"/>
    <w:rsid w:val="6DA15E5C"/>
    <w:rsid w:val="6FE5071F"/>
    <w:rsid w:val="70C70595"/>
    <w:rsid w:val="724179B2"/>
    <w:rsid w:val="75830EB8"/>
    <w:rsid w:val="770F5700"/>
    <w:rsid w:val="777234E1"/>
    <w:rsid w:val="7C533A08"/>
    <w:rsid w:val="7D024843"/>
    <w:rsid w:val="7DA23FAD"/>
    <w:rsid w:val="7F037115"/>
    <w:rsid w:val="7F0C1A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12</Pages>
  <Words>3915</Words>
  <Characters>4238</Characters>
  <Lines>31</Lines>
  <Paragraphs>8</Paragraphs>
  <TotalTime>6</TotalTime>
  <ScaleCrop>false</ScaleCrop>
  <LinksUpToDate>false</LinksUpToDate>
  <CharactersWithSpaces>4279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2023-09-13T00:20:02Z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