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B2C83">
      <w:pPr>
        <w:pStyle w:val="6"/>
        <w:rPr>
          <w:rFonts w:hint="default" w:ascii="黑体" w:eastAsia="黑体"/>
          <w:sz w:val="32"/>
        </w:rPr>
      </w:pPr>
      <w:bookmarkStart w:id="0" w:name="_GoBack"/>
      <w:bookmarkEnd w:id="0"/>
      <w:r>
        <w:rPr>
          <w:rFonts w:ascii="黑体" w:eastAsia="黑体"/>
          <w:sz w:val="32"/>
        </w:rPr>
        <w:t>附件2</w:t>
      </w:r>
    </w:p>
    <w:p w14:paraId="35656BF3">
      <w:pPr>
        <w:pStyle w:val="6"/>
        <w:rPr>
          <w:rFonts w:hint="default"/>
          <w:b/>
          <w:sz w:val="44"/>
        </w:rPr>
      </w:pPr>
    </w:p>
    <w:p w14:paraId="135C23AB">
      <w:pPr>
        <w:pStyle w:val="6"/>
        <w:rPr>
          <w:rFonts w:hint="default"/>
          <w:b/>
          <w:sz w:val="44"/>
        </w:rPr>
      </w:pPr>
    </w:p>
    <w:p w14:paraId="2157D1D8">
      <w:pPr>
        <w:pStyle w:val="6"/>
        <w:rPr>
          <w:rFonts w:hint="default"/>
          <w:b/>
          <w:sz w:val="44"/>
        </w:rPr>
      </w:pPr>
    </w:p>
    <w:p w14:paraId="6528EFC3">
      <w:pPr>
        <w:pStyle w:val="6"/>
        <w:rPr>
          <w:rFonts w:hint="default"/>
          <w:b/>
          <w:sz w:val="44"/>
        </w:rPr>
      </w:pPr>
    </w:p>
    <w:p w14:paraId="7E887962">
      <w:pPr>
        <w:pStyle w:val="6"/>
        <w:rPr>
          <w:rFonts w:hint="default"/>
          <w:b/>
          <w:sz w:val="44"/>
        </w:rPr>
      </w:pPr>
    </w:p>
    <w:p w14:paraId="3DEE5E14">
      <w:pPr>
        <w:pStyle w:val="6"/>
        <w:rPr>
          <w:rFonts w:hint="default"/>
          <w:b/>
          <w:sz w:val="44"/>
        </w:rPr>
      </w:pPr>
    </w:p>
    <w:p w14:paraId="3C7A4B30">
      <w:pPr>
        <w:pStyle w:val="6"/>
        <w:jc w:val="center"/>
        <w:rPr>
          <w:rFonts w:hint="eastAsia" w:ascii="宋体" w:hAnsi="宋体"/>
          <w:b/>
          <w:sz w:val="72"/>
          <w:szCs w:val="72"/>
          <w:lang w:val="en-US" w:eastAsia="zh-CN"/>
        </w:rPr>
      </w:pPr>
      <w:r>
        <w:rPr>
          <w:rFonts w:hint="eastAsia" w:ascii="宋体" w:hAnsi="宋体"/>
          <w:b/>
          <w:sz w:val="72"/>
          <w:szCs w:val="72"/>
          <w:lang w:val="en-US" w:eastAsia="zh-CN"/>
        </w:rPr>
        <w:t>辽宁省沈阳市</w:t>
      </w:r>
    </w:p>
    <w:p w14:paraId="4657ABF8">
      <w:pPr>
        <w:pStyle w:val="6"/>
        <w:jc w:val="center"/>
        <w:rPr>
          <w:rFonts w:hint="eastAsia" w:ascii="宋体" w:hAnsi="宋体"/>
          <w:b/>
          <w:sz w:val="72"/>
          <w:szCs w:val="72"/>
          <w:lang w:val="en-US" w:eastAsia="zh-CN"/>
        </w:rPr>
      </w:pPr>
      <w:r>
        <w:rPr>
          <w:rFonts w:hint="eastAsia" w:ascii="宋体" w:hAnsi="宋体"/>
          <w:b/>
          <w:sz w:val="72"/>
          <w:szCs w:val="72"/>
          <w:lang w:val="en-US" w:eastAsia="zh-CN"/>
        </w:rPr>
        <w:t>浑南区教育局第三幼儿园</w:t>
      </w:r>
    </w:p>
    <w:p w14:paraId="3B577E55">
      <w:pPr>
        <w:pStyle w:val="6"/>
        <w:jc w:val="center"/>
        <w:rPr>
          <w:rFonts w:hint="default" w:ascii="仿宋_GB2312" w:eastAsia="仿宋_GB2312"/>
          <w:b/>
          <w:sz w:val="72"/>
          <w:szCs w:val="28"/>
        </w:rPr>
      </w:pPr>
      <w:r>
        <w:rPr>
          <w:rFonts w:hint="eastAsia" w:ascii="宋体" w:hAnsi="宋体"/>
          <w:b/>
          <w:sz w:val="72"/>
          <w:szCs w:val="72"/>
          <w:lang w:eastAsia="zh-CN"/>
        </w:rPr>
        <w:t>202</w:t>
      </w:r>
      <w:r>
        <w:rPr>
          <w:rFonts w:hint="eastAsia" w:ascii="宋体" w:hAnsi="宋体"/>
          <w:b/>
          <w:sz w:val="72"/>
          <w:szCs w:val="72"/>
          <w:lang w:val="en-US" w:eastAsia="zh-CN"/>
        </w:rPr>
        <w:t>2</w:t>
      </w:r>
      <w:r>
        <w:rPr>
          <w:rFonts w:hint="eastAsia" w:ascii="宋体" w:hAnsi="宋体"/>
          <w:b/>
          <w:sz w:val="72"/>
          <w:szCs w:val="72"/>
          <w:lang w:eastAsia="zh-CN"/>
        </w:rPr>
        <w:t>决算</w:t>
      </w:r>
      <w:r>
        <w:rPr>
          <w:rFonts w:hint="eastAsia"/>
          <w:b/>
          <w:sz w:val="72"/>
          <w:szCs w:val="72"/>
          <w:lang w:eastAsia="zh-CN"/>
        </w:rPr>
        <w:t>说明</w:t>
      </w:r>
    </w:p>
    <w:p w14:paraId="548C02B6">
      <w:pPr>
        <w:pStyle w:val="6"/>
        <w:jc w:val="center"/>
        <w:rPr>
          <w:rFonts w:hint="default" w:ascii="Times New Roman" w:eastAsia="Times New Roman"/>
          <w:b/>
          <w:sz w:val="44"/>
          <w:u w:val="single"/>
        </w:rPr>
      </w:pPr>
    </w:p>
    <w:p w14:paraId="386D966F">
      <w:pPr>
        <w:pStyle w:val="6"/>
        <w:jc w:val="center"/>
        <w:rPr>
          <w:rFonts w:hint="default" w:ascii="Times New Roman" w:eastAsia="Times New Roman"/>
          <w:b/>
          <w:sz w:val="44"/>
          <w:u w:val="single"/>
        </w:rPr>
      </w:pPr>
    </w:p>
    <w:p w14:paraId="4B23E34C">
      <w:pPr>
        <w:pStyle w:val="6"/>
        <w:jc w:val="center"/>
        <w:rPr>
          <w:rFonts w:hint="default" w:ascii="Times New Roman" w:eastAsia="Times New Roman"/>
          <w:b/>
          <w:sz w:val="44"/>
          <w:u w:val="single"/>
        </w:rPr>
      </w:pPr>
    </w:p>
    <w:p w14:paraId="66D921E4">
      <w:pPr>
        <w:pStyle w:val="6"/>
        <w:jc w:val="center"/>
        <w:rPr>
          <w:rFonts w:hint="default" w:ascii="Times New Roman" w:eastAsia="Times New Roman"/>
          <w:b/>
          <w:sz w:val="44"/>
          <w:u w:val="single"/>
        </w:rPr>
      </w:pPr>
    </w:p>
    <w:p w14:paraId="105CC746">
      <w:pPr>
        <w:pStyle w:val="6"/>
        <w:jc w:val="center"/>
        <w:rPr>
          <w:rFonts w:hint="default" w:ascii="Times New Roman" w:eastAsia="Times New Roman"/>
          <w:b/>
          <w:sz w:val="44"/>
          <w:u w:val="single"/>
        </w:rPr>
      </w:pPr>
    </w:p>
    <w:p w14:paraId="3FF1FD41">
      <w:pPr>
        <w:pStyle w:val="6"/>
        <w:jc w:val="center"/>
        <w:rPr>
          <w:rFonts w:hint="default" w:ascii="Times New Roman" w:eastAsia="Times New Roman"/>
          <w:b/>
          <w:sz w:val="44"/>
          <w:u w:val="single"/>
        </w:rPr>
      </w:pPr>
    </w:p>
    <w:p w14:paraId="4B25AD27">
      <w:pPr>
        <w:pStyle w:val="6"/>
        <w:jc w:val="center"/>
        <w:rPr>
          <w:rFonts w:hint="default" w:ascii="Times New Roman" w:eastAsia="Times New Roman"/>
          <w:b/>
          <w:sz w:val="44"/>
          <w:u w:val="single"/>
        </w:rPr>
      </w:pPr>
    </w:p>
    <w:p w14:paraId="5D9F6385">
      <w:pPr>
        <w:pStyle w:val="6"/>
        <w:jc w:val="center"/>
        <w:rPr>
          <w:rFonts w:hint="default" w:ascii="Times New Roman" w:eastAsia="Times New Roman"/>
          <w:b/>
          <w:sz w:val="44"/>
          <w:u w:val="single"/>
        </w:rPr>
      </w:pPr>
    </w:p>
    <w:p w14:paraId="77A5A7CE">
      <w:pPr>
        <w:pStyle w:val="6"/>
        <w:jc w:val="center"/>
        <w:rPr>
          <w:rFonts w:hint="default" w:ascii="Times New Roman" w:eastAsia="Times New Roman"/>
          <w:b/>
          <w:sz w:val="44"/>
          <w:u w:val="single"/>
        </w:rPr>
      </w:pPr>
    </w:p>
    <w:p w14:paraId="2CBFB9D5">
      <w:pPr>
        <w:pStyle w:val="6"/>
        <w:jc w:val="center"/>
        <w:rPr>
          <w:rFonts w:hint="default" w:ascii="Times New Roman" w:eastAsia="Times New Roman"/>
          <w:b/>
          <w:sz w:val="44"/>
          <w:u w:val="single"/>
        </w:rPr>
      </w:pPr>
    </w:p>
    <w:p w14:paraId="5B9844B3">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19F071BB">
      <w:pPr>
        <w:pStyle w:val="6"/>
        <w:spacing w:line="560" w:lineRule="exact"/>
        <w:rPr>
          <w:rFonts w:hint="default" w:ascii="Times New Roman" w:eastAsia="Times New Roman"/>
          <w:b/>
          <w:sz w:val="44"/>
          <w:u w:val="single"/>
        </w:rPr>
      </w:pPr>
    </w:p>
    <w:p w14:paraId="0A4BE9C3">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2A5E38FF">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71CC3E0">
      <w:pPr>
        <w:pStyle w:val="6"/>
        <w:spacing w:line="560" w:lineRule="exact"/>
        <w:rPr>
          <w:rFonts w:hint="default" w:ascii="仿宋_GB2312" w:eastAsia="仿宋_GB2312"/>
          <w:sz w:val="32"/>
        </w:rPr>
      </w:pPr>
      <w:r>
        <w:rPr>
          <w:rFonts w:ascii="仿宋_GB2312" w:eastAsia="仿宋_GB2312"/>
          <w:sz w:val="32"/>
        </w:rPr>
        <w:t>二、决算单位构成</w:t>
      </w:r>
    </w:p>
    <w:p w14:paraId="301D012F">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3B2AFCE7">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6DA3CD74">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A48EFE3">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6A44633D">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760F4B1A">
      <w:pPr>
        <w:pStyle w:val="6"/>
        <w:spacing w:line="560" w:lineRule="exact"/>
        <w:rPr>
          <w:rFonts w:hint="default" w:ascii="黑体" w:eastAsia="黑体"/>
          <w:sz w:val="32"/>
        </w:rPr>
      </w:pPr>
      <w:r>
        <w:rPr>
          <w:rFonts w:ascii="仿宋_GB2312" w:eastAsia="仿宋_GB2312"/>
          <w:sz w:val="32"/>
        </w:rPr>
        <w:t>五、其他重要事项的情况说明</w:t>
      </w:r>
    </w:p>
    <w:p w14:paraId="21E5498E">
      <w:pPr>
        <w:pStyle w:val="6"/>
        <w:spacing w:line="560" w:lineRule="exact"/>
        <w:rPr>
          <w:rFonts w:hint="default" w:ascii="黑体" w:eastAsia="黑体"/>
          <w:sz w:val="32"/>
        </w:rPr>
      </w:pPr>
      <w:r>
        <w:rPr>
          <w:rFonts w:ascii="黑体" w:eastAsia="黑体"/>
          <w:sz w:val="32"/>
        </w:rPr>
        <w:t>第三部分    名词解释</w:t>
      </w:r>
    </w:p>
    <w:p w14:paraId="63555966">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527F7F67">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E375606">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5D7F8376">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779AA0F7">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2852064C">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11C0AE">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2465286">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2D7EB485">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5054CB4A">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69191172">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117082D4">
      <w:pPr>
        <w:pStyle w:val="6"/>
        <w:spacing w:line="560" w:lineRule="exact"/>
        <w:jc w:val="center"/>
        <w:rPr>
          <w:rFonts w:hint="default"/>
          <w:b/>
          <w:sz w:val="36"/>
        </w:rPr>
      </w:pPr>
    </w:p>
    <w:p w14:paraId="418B9506">
      <w:pPr>
        <w:pStyle w:val="6"/>
        <w:spacing w:line="560" w:lineRule="exact"/>
        <w:jc w:val="center"/>
        <w:rPr>
          <w:rFonts w:hint="default"/>
          <w:b/>
          <w:sz w:val="36"/>
        </w:rPr>
      </w:pPr>
    </w:p>
    <w:p w14:paraId="59594D1A">
      <w:pPr>
        <w:pStyle w:val="6"/>
        <w:numPr>
          <w:ilvl w:val="0"/>
          <w:numId w:val="1"/>
        </w:numPr>
        <w:spacing w:line="560" w:lineRule="exact"/>
        <w:jc w:val="center"/>
        <w:rPr>
          <w:rFonts w:hint="eastAsia"/>
          <w:b/>
          <w:sz w:val="36"/>
          <w:lang w:val="en-US" w:eastAsia="zh-CN"/>
        </w:rPr>
      </w:pPr>
      <w:r>
        <w:rPr>
          <w:rFonts w:hint="eastAsia"/>
          <w:b/>
          <w:sz w:val="36"/>
          <w:lang w:val="en-US" w:eastAsia="zh-CN"/>
        </w:rPr>
        <w:t>辽宁省教育厅第三幼儿园概况</w:t>
      </w:r>
    </w:p>
    <w:p w14:paraId="48F3098C">
      <w:pPr>
        <w:pStyle w:val="6"/>
        <w:numPr>
          <w:ilvl w:val="0"/>
          <w:numId w:val="0"/>
        </w:numPr>
        <w:spacing w:line="560" w:lineRule="exact"/>
        <w:jc w:val="both"/>
        <w:rPr>
          <w:rFonts w:hint="default"/>
          <w:b/>
          <w:sz w:val="36"/>
          <w:lang w:val="en-US" w:eastAsia="zh-CN"/>
        </w:rPr>
      </w:pPr>
    </w:p>
    <w:p w14:paraId="2F4290CE">
      <w:pPr>
        <w:pStyle w:val="6"/>
        <w:spacing w:line="560" w:lineRule="exact"/>
        <w:ind w:firstLine="640"/>
        <w:rPr>
          <w:rFonts w:hint="default" w:ascii="黑体" w:eastAsia="黑体"/>
          <w:sz w:val="32"/>
        </w:rPr>
      </w:pPr>
      <w:r>
        <w:rPr>
          <w:rFonts w:ascii="黑体" w:eastAsia="黑体"/>
          <w:sz w:val="32"/>
        </w:rPr>
        <w:t>一、主要职责</w:t>
      </w:r>
    </w:p>
    <w:p w14:paraId="0F16526A">
      <w:pPr>
        <w:pStyle w:val="6"/>
        <w:spacing w:line="560" w:lineRule="exact"/>
        <w:ind w:firstLine="64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14:paraId="1A2A11F4">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14:paraId="6AEBF68A">
      <w:pPr>
        <w:pStyle w:val="6"/>
        <w:numPr>
          <w:ilvl w:val="0"/>
          <w:numId w:val="2"/>
        </w:numPr>
        <w:spacing w:line="560" w:lineRule="exact"/>
        <w:ind w:left="-10" w:leftChars="0" w:firstLine="640" w:firstLineChars="0"/>
        <w:rPr>
          <w:rFonts w:ascii="黑体" w:eastAsia="黑体"/>
          <w:sz w:val="32"/>
        </w:rPr>
      </w:pPr>
      <w:r>
        <w:rPr>
          <w:rFonts w:ascii="黑体" w:eastAsia="黑体"/>
          <w:sz w:val="32"/>
        </w:rPr>
        <w:t>决算单位构成</w:t>
      </w:r>
    </w:p>
    <w:p w14:paraId="5B8B0CBE">
      <w:pPr>
        <w:pStyle w:val="6"/>
        <w:spacing w:line="560" w:lineRule="exact"/>
        <w:ind w:firstLine="640"/>
        <w:rPr>
          <w:rFonts w:hint="eastAsia" w:ascii="仿宋_GB2312" w:eastAsia="仿宋_GB2312"/>
          <w:sz w:val="32"/>
          <w:lang w:eastAsia="zh-CN"/>
        </w:rPr>
      </w:pPr>
      <w:r>
        <w:rPr>
          <w:rFonts w:hint="eastAsia" w:ascii="仿宋_GB2312" w:hAnsi="仿宋_GB2312" w:eastAsia="仿宋_GB2312" w:cs="仿宋_GB2312"/>
          <w:b w:val="0"/>
          <w:bCs w:val="0"/>
          <w:color w:val="auto"/>
          <w:sz w:val="32"/>
          <w:szCs w:val="32"/>
          <w:lang w:eastAsia="zh-CN"/>
        </w:rPr>
        <w:t>沈阳市浑南区教育局第三幼儿园</w:t>
      </w:r>
      <w:r>
        <w:rPr>
          <w:rFonts w:hint="default" w:ascii="仿宋_GB2312" w:hAnsi="仿宋_GB2312" w:eastAsia="仿宋_GB2312" w:cs="仿宋_GB2312"/>
          <w:b w:val="0"/>
          <w:bCs w:val="0"/>
          <w:color w:val="auto"/>
          <w:sz w:val="32"/>
          <w:szCs w:val="32"/>
          <w:lang w:eastAsia="zh-CN"/>
        </w:rPr>
        <w:t>是纳入浑南区教育局2022年决算编制范围的二级预算单位,本单位无下设机构</w:t>
      </w:r>
      <w:r>
        <w:rPr>
          <w:rFonts w:hint="eastAsia" w:ascii="仿宋_GB2312" w:eastAsia="仿宋_GB2312"/>
          <w:sz w:val="32"/>
          <w:lang w:eastAsia="zh-CN"/>
        </w:rPr>
        <w:t>。</w:t>
      </w:r>
    </w:p>
    <w:p w14:paraId="301C32E2">
      <w:pPr>
        <w:pStyle w:val="6"/>
        <w:spacing w:line="560" w:lineRule="exact"/>
        <w:jc w:val="center"/>
        <w:rPr>
          <w:rFonts w:hint="default"/>
          <w:b/>
          <w:sz w:val="36"/>
        </w:rPr>
      </w:pPr>
    </w:p>
    <w:p w14:paraId="14779387">
      <w:pPr>
        <w:pStyle w:val="6"/>
        <w:numPr>
          <w:ilvl w:val="0"/>
          <w:numId w:val="1"/>
        </w:numPr>
        <w:spacing w:line="560" w:lineRule="exact"/>
        <w:ind w:left="0" w:leftChars="0" w:firstLine="0" w:firstLineChars="0"/>
        <w:jc w:val="center"/>
        <w:rPr>
          <w:rFonts w:hint="default"/>
          <w:b/>
          <w:sz w:val="36"/>
        </w:rPr>
      </w:pPr>
      <w:r>
        <w:rPr>
          <w:rFonts w:hint="eastAsia"/>
          <w:b/>
          <w:sz w:val="36"/>
          <w:lang w:val="en-US" w:eastAsia="zh-CN"/>
        </w:rPr>
        <w:t>沈阳市浑南区教育局第三幼儿园</w:t>
      </w:r>
      <w:r>
        <w:rPr>
          <w:b/>
          <w:sz w:val="36"/>
        </w:rPr>
        <w:t>202</w:t>
      </w:r>
      <w:r>
        <w:rPr>
          <w:rFonts w:hint="eastAsia"/>
          <w:b/>
          <w:sz w:val="36"/>
          <w:lang w:val="en-US" w:eastAsia="zh-CN"/>
        </w:rPr>
        <w:t>2</w:t>
      </w:r>
      <w:r>
        <w:rPr>
          <w:b/>
          <w:sz w:val="36"/>
        </w:rPr>
        <w:t>年决算情况说明</w:t>
      </w:r>
    </w:p>
    <w:p w14:paraId="040F5798">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4AB33C29">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278.1</w:t>
      </w:r>
      <w:r>
        <w:rPr>
          <w:rFonts w:ascii="楷体_GB2312" w:eastAsia="楷体_GB2312"/>
          <w:b/>
          <w:sz w:val="32"/>
        </w:rPr>
        <w:t>万元</w:t>
      </w:r>
    </w:p>
    <w:p w14:paraId="086876C4">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278.1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278.1</w:t>
      </w:r>
      <w:r>
        <w:rPr>
          <w:rFonts w:ascii="仿宋_GB2312" w:eastAsia="仿宋_GB2312"/>
          <w:sz w:val="32"/>
        </w:rPr>
        <w:t>万元，</w:t>
      </w:r>
    </w:p>
    <w:p w14:paraId="7ADB13EC">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p>
    <w:p w14:paraId="63C85E48">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278.1</w:t>
      </w:r>
      <w:r>
        <w:rPr>
          <w:rFonts w:ascii="楷体_GB2312" w:eastAsia="楷体_GB2312"/>
          <w:b/>
          <w:sz w:val="32"/>
        </w:rPr>
        <w:t>万元</w:t>
      </w:r>
    </w:p>
    <w:p w14:paraId="69122E4F">
      <w:pPr>
        <w:pStyle w:val="6"/>
        <w:spacing w:line="560" w:lineRule="exact"/>
        <w:ind w:firstLine="660"/>
        <w:rPr>
          <w:rFonts w:hint="default" w:ascii="仿宋_GB2312" w:eastAsia="仿宋_GB2312"/>
          <w:sz w:val="32"/>
        </w:rPr>
      </w:pPr>
      <w:r>
        <w:rPr>
          <w:rFonts w:ascii="仿宋_GB2312" w:eastAsia="仿宋_GB2312"/>
          <w:sz w:val="32"/>
        </w:rPr>
        <w:t>1.</w:t>
      </w:r>
      <w:r>
        <w:rPr>
          <w:rFonts w:hint="eastAsia" w:ascii="仿宋_GB2312" w:eastAsia="仿宋_GB2312"/>
          <w:sz w:val="32"/>
          <w:lang w:val="en-US" w:eastAsia="zh-CN"/>
        </w:rPr>
        <w:t>教育</w:t>
      </w:r>
      <w:r>
        <w:rPr>
          <w:rFonts w:ascii="仿宋_GB2312" w:eastAsia="仿宋_GB2312"/>
          <w:sz w:val="32"/>
        </w:rPr>
        <w:t>支出</w:t>
      </w:r>
      <w:r>
        <w:rPr>
          <w:rFonts w:hint="eastAsia" w:ascii="仿宋_GB2312" w:eastAsia="仿宋_GB2312"/>
          <w:sz w:val="32"/>
          <w:lang w:val="en-US" w:eastAsia="zh-CN"/>
        </w:rPr>
        <w:t>278.1</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%。主要是为保障机构正常运转、完成日常工作任务而发生的各项支出。</w:t>
      </w:r>
    </w:p>
    <w:p w14:paraId="7ED4B157">
      <w:pPr>
        <w:pStyle w:val="6"/>
        <w:spacing w:line="560" w:lineRule="exact"/>
        <w:ind w:firstLine="660"/>
        <w:rPr>
          <w:rFonts w:ascii="楷体_GB2312" w:eastAsia="楷体_GB2312"/>
          <w:b/>
          <w:sz w:val="32"/>
        </w:rPr>
      </w:pPr>
      <w:r>
        <w:rPr>
          <w:rFonts w:ascii="楷体_GB2312" w:eastAsia="楷体_GB2312"/>
          <w:b/>
          <w:sz w:val="32"/>
        </w:rPr>
        <w:t>（三）年末结转和结</w:t>
      </w:r>
      <w:r>
        <w:rPr>
          <w:rFonts w:hint="eastAsia" w:ascii="楷体_GB2312" w:eastAsia="楷体_GB2312"/>
          <w:b/>
          <w:sz w:val="32"/>
          <w:lang w:val="en-US" w:eastAsia="zh-CN"/>
        </w:rPr>
        <w:t>余0</w:t>
      </w:r>
      <w:r>
        <w:rPr>
          <w:rFonts w:ascii="楷体_GB2312" w:eastAsia="楷体_GB2312"/>
          <w:b/>
          <w:sz w:val="32"/>
        </w:rPr>
        <w:t>万元</w:t>
      </w:r>
    </w:p>
    <w:p w14:paraId="5125C313">
      <w:pPr>
        <w:pStyle w:val="6"/>
        <w:spacing w:line="560" w:lineRule="exact"/>
        <w:ind w:firstLine="660"/>
        <w:rPr>
          <w:rFonts w:hint="default" w:ascii="楷体_GB2312" w:eastAsia="楷体_GB2312"/>
          <w:b w:val="0"/>
          <w:bCs/>
          <w:sz w:val="32"/>
          <w:lang w:val="en-US" w:eastAsia="zh-CN"/>
        </w:rPr>
      </w:pPr>
      <w:r>
        <w:rPr>
          <w:rFonts w:hint="eastAsia" w:ascii="楷体_GB2312" w:eastAsia="楷体_GB2312"/>
          <w:b w:val="0"/>
          <w:bCs/>
          <w:sz w:val="32"/>
          <w:lang w:eastAsia="zh-CN"/>
        </w:rPr>
        <w:t>年末结转结余</w:t>
      </w:r>
      <w:r>
        <w:rPr>
          <w:rFonts w:hint="eastAsia" w:ascii="楷体_GB2312" w:eastAsia="楷体_GB2312"/>
          <w:b w:val="0"/>
          <w:bCs/>
          <w:sz w:val="32"/>
          <w:lang w:val="en-US" w:eastAsia="zh-CN"/>
        </w:rPr>
        <w:t>0万元，与上年持平。</w:t>
      </w:r>
    </w:p>
    <w:p w14:paraId="47E12611">
      <w:pPr>
        <w:pStyle w:val="6"/>
        <w:spacing w:line="560" w:lineRule="exact"/>
        <w:ind w:firstLine="660"/>
        <w:rPr>
          <w:rFonts w:ascii="黑体" w:eastAsia="黑体"/>
          <w:sz w:val="32"/>
        </w:rPr>
      </w:pPr>
      <w:r>
        <w:rPr>
          <w:rFonts w:ascii="黑体" w:eastAsia="黑体"/>
          <w:sz w:val="32"/>
        </w:rPr>
        <w:t>二、财政拨款收入支出决算情况说明</w:t>
      </w:r>
    </w:p>
    <w:p w14:paraId="347E2DC7">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7970317B">
      <w:pPr>
        <w:pStyle w:val="6"/>
        <w:spacing w:line="560" w:lineRule="exact"/>
        <w:ind w:firstLine="660"/>
        <w:rPr>
          <w:rFonts w:hint="eastAsia" w:ascii="仿宋_GB2312" w:eastAsia="仿宋_GB2312"/>
          <w:color w:val="FF0000"/>
          <w:sz w:val="32"/>
          <w:highlight w:val="none"/>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278.1</w:t>
      </w:r>
      <w:r>
        <w:rPr>
          <w:rFonts w:ascii="仿宋_GB2312" w:eastAsia="仿宋_GB2312"/>
          <w:sz w:val="32"/>
        </w:rPr>
        <w:t>万元，其中：</w:t>
      </w:r>
      <w:r>
        <w:rPr>
          <w:rFonts w:hint="eastAsia" w:ascii="仿宋_GB2312" w:eastAsia="仿宋_GB2312"/>
          <w:sz w:val="32"/>
          <w:lang w:val="en-US" w:eastAsia="zh-CN"/>
        </w:rPr>
        <w:t>教育</w:t>
      </w:r>
      <w:r>
        <w:rPr>
          <w:rFonts w:ascii="仿宋_GB2312" w:eastAsia="仿宋_GB2312"/>
          <w:sz w:val="32"/>
        </w:rPr>
        <w:t>支出</w:t>
      </w:r>
      <w:r>
        <w:rPr>
          <w:rFonts w:hint="eastAsia" w:ascii="仿宋_GB2312" w:eastAsia="仿宋_GB2312"/>
          <w:sz w:val="32"/>
          <w:lang w:val="en-US" w:eastAsia="zh-CN"/>
        </w:rPr>
        <w:t>278.1</w:t>
      </w:r>
      <w:r>
        <w:rPr>
          <w:rFonts w:ascii="仿宋_GB2312" w:eastAsia="仿宋_GB2312"/>
          <w:sz w:val="32"/>
        </w:rPr>
        <w:t>万元，</w:t>
      </w:r>
      <w:r>
        <w:rPr>
          <w:rFonts w:ascii="仿宋_GB2312" w:eastAsia="仿宋_GB2312"/>
          <w:sz w:val="32"/>
          <w:highlight w:val="none"/>
        </w:rPr>
        <w:t>与上年相比，财政拨款支出增加</w:t>
      </w:r>
      <w:r>
        <w:rPr>
          <w:rFonts w:hint="eastAsia" w:ascii="仿宋_GB2312" w:eastAsia="仿宋_GB2312"/>
          <w:sz w:val="32"/>
          <w:highlight w:val="none"/>
          <w:lang w:val="en-US" w:eastAsia="zh-CN"/>
        </w:rPr>
        <w:t>106.2万元</w:t>
      </w:r>
      <w:r>
        <w:rPr>
          <w:rFonts w:ascii="仿宋_GB2312" w:eastAsia="仿宋_GB2312"/>
          <w:sz w:val="32"/>
          <w:highlight w:val="none"/>
        </w:rPr>
        <w:t>，</w:t>
      </w:r>
      <w:r>
        <w:rPr>
          <w:rFonts w:hint="eastAsia" w:ascii="仿宋_GB2312" w:eastAsia="仿宋_GB2312"/>
          <w:sz w:val="32"/>
          <w:highlight w:val="none"/>
          <w:lang w:val="en-US" w:eastAsia="zh-CN"/>
        </w:rPr>
        <w:t>与上年同比增加38.2%。</w:t>
      </w:r>
      <w:r>
        <w:rPr>
          <w:rFonts w:ascii="仿宋_GB2312" w:eastAsia="仿宋_GB2312"/>
          <w:sz w:val="32"/>
          <w:highlight w:val="none"/>
        </w:rPr>
        <w:t>主要原因：</w:t>
      </w:r>
      <w:r>
        <w:rPr>
          <w:rFonts w:ascii="黑体" w:eastAsia="黑体"/>
          <w:sz w:val="32"/>
          <w:highlight w:val="none"/>
        </w:rPr>
        <w:t>一是</w:t>
      </w:r>
      <w:r>
        <w:rPr>
          <w:rFonts w:hint="eastAsia" w:ascii="仿宋_GB2312" w:eastAsia="仿宋_GB2312"/>
          <w:sz w:val="32"/>
          <w:highlight w:val="none"/>
          <w:lang w:val="en-US" w:eastAsia="zh-CN"/>
        </w:rPr>
        <w:t>新建校支出增加</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val="en-US" w:eastAsia="zh-CN"/>
        </w:rPr>
        <w:t>新成立人员的增加</w:t>
      </w:r>
      <w:r>
        <w:rPr>
          <w:rFonts w:ascii="仿宋_GB2312" w:eastAsia="仿宋_GB2312"/>
          <w:sz w:val="32"/>
          <w:highlight w:val="none"/>
        </w:rPr>
        <w:t>。</w:t>
      </w:r>
      <w:r>
        <w:rPr>
          <w:rFonts w:ascii="仿宋_GB2312" w:eastAsia="仿宋_GB2312"/>
          <w:color w:val="000000" w:themeColor="text1"/>
          <w:sz w:val="32"/>
          <w14:textFill>
            <w14:solidFill>
              <w14:schemeClr w14:val="tx1"/>
            </w14:solidFill>
          </w14:textFill>
        </w:rPr>
        <w:t>与年初预算相比，202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年度财政拨款支出完成年初预算的</w:t>
      </w:r>
      <w:r>
        <w:rPr>
          <w:rFonts w:hint="eastAsia" w:ascii="仿宋_GB2312" w:eastAsia="仿宋_GB2312"/>
          <w:color w:val="000000" w:themeColor="text1"/>
          <w:sz w:val="32"/>
          <w:lang w:val="en-US" w:eastAsia="zh-CN"/>
          <w14:textFill>
            <w14:solidFill>
              <w14:schemeClr w14:val="tx1"/>
            </w14:solidFill>
          </w14:textFill>
        </w:rPr>
        <w:t>100</w:t>
      </w:r>
      <w:r>
        <w:rPr>
          <w:rFonts w:ascii="仿宋_GB2312" w:eastAsia="仿宋_GB2312"/>
          <w:color w:val="000000" w:themeColor="text1"/>
          <w:sz w:val="32"/>
          <w14:textFill>
            <w14:solidFill>
              <w14:schemeClr w14:val="tx1"/>
            </w14:solidFill>
          </w14:textFill>
        </w:rPr>
        <w:t>%，其中：基本支出完成年初预算的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%，项目支出完成年初预算的</w:t>
      </w:r>
      <w:r>
        <w:rPr>
          <w:rFonts w:hint="eastAsia" w:ascii="仿宋_GB2312" w:eastAsia="仿宋_GB2312"/>
          <w:color w:val="000000" w:themeColor="text1"/>
          <w:sz w:val="32"/>
          <w:lang w:val="en-US" w:eastAsia="zh-CN"/>
          <w14:textFill>
            <w14:solidFill>
              <w14:schemeClr w14:val="tx1"/>
            </w14:solidFill>
          </w14:textFill>
        </w:rPr>
        <w:t>100</w:t>
      </w:r>
      <w:r>
        <w:rPr>
          <w:rFonts w:ascii="仿宋_GB2312" w:eastAsia="仿宋_GB2312"/>
          <w:color w:val="000000" w:themeColor="text1"/>
          <w:sz w:val="32"/>
          <w14:textFill>
            <w14:solidFill>
              <w14:schemeClr w14:val="tx1"/>
            </w14:solidFill>
          </w14:textFill>
        </w:rPr>
        <w:t>%</w:t>
      </w:r>
      <w:r>
        <w:rPr>
          <w:rFonts w:hint="eastAsia" w:ascii="仿宋_GB2312" w:eastAsia="仿宋_GB2312"/>
          <w:color w:val="000000" w:themeColor="text1"/>
          <w:sz w:val="32"/>
          <w:lang w:eastAsia="zh-CN"/>
          <w14:textFill>
            <w14:solidFill>
              <w14:schemeClr w14:val="tx1"/>
            </w14:solidFill>
          </w14:textFill>
        </w:rPr>
        <w:t>。</w:t>
      </w:r>
    </w:p>
    <w:p w14:paraId="3357CFB9">
      <w:pPr>
        <w:numPr>
          <w:ilvl w:val="0"/>
          <w:numId w:val="0"/>
        </w:numPr>
        <w:spacing w:line="560" w:lineRule="exact"/>
        <w:ind w:firstLine="321" w:firstLineChars="100"/>
        <w:rPr>
          <w:rFonts w:hint="default" w:ascii="仿宋_GB2312" w:hAnsi="宋体" w:eastAsia="仿宋_GB2312"/>
          <w:sz w:val="32"/>
          <w:szCs w:val="32"/>
        </w:rPr>
      </w:pPr>
      <w:r>
        <w:rPr>
          <w:rFonts w:ascii="楷体_GB2312" w:hAnsi="宋体" w:eastAsia="楷体_GB2312"/>
          <w:b/>
          <w:sz w:val="32"/>
          <w:szCs w:val="32"/>
        </w:rPr>
        <w:t>（二）一般公共预算财政拨款支出情况。</w:t>
      </w:r>
    </w:p>
    <w:p w14:paraId="655B0B09">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278.1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278.1</w:t>
      </w:r>
      <w:r>
        <w:rPr>
          <w:rFonts w:ascii="仿宋_GB2312" w:hAnsi="宋体" w:eastAsia="仿宋_GB2312"/>
          <w:sz w:val="32"/>
          <w:szCs w:val="32"/>
        </w:rPr>
        <w:t>万元</w:t>
      </w:r>
      <w:r>
        <w:rPr>
          <w:rFonts w:hint="eastAsia" w:ascii="仿宋_GB2312" w:hAnsi="宋体" w:eastAsia="仿宋_GB2312"/>
          <w:sz w:val="32"/>
          <w:szCs w:val="32"/>
          <w:lang w:eastAsia="zh-CN"/>
        </w:rPr>
        <w:t>，占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14:paraId="1060C0C5">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278.1</w:t>
      </w:r>
      <w:r>
        <w:rPr>
          <w:rFonts w:ascii="仿宋_GB2312" w:hAnsi="宋体" w:eastAsia="仿宋_GB2312"/>
          <w:sz w:val="32"/>
          <w:szCs w:val="32"/>
        </w:rPr>
        <w:t>万元，具体包括：</w:t>
      </w:r>
    </w:p>
    <w:p w14:paraId="48057153">
      <w:pPr>
        <w:spacing w:line="560" w:lineRule="exact"/>
        <w:ind w:firstLine="660"/>
        <w:rPr>
          <w:rFonts w:hint="eastAsia" w:ascii="仿宋_GB2312" w:hAnsi="宋体" w:eastAsia="仿宋_GB2312"/>
          <w:color w:val="000000" w:themeColor="text1"/>
          <w:sz w:val="32"/>
          <w:szCs w:val="32"/>
          <w:lang w:eastAsia="zh-CN"/>
          <w14:textFill>
            <w14:solidFill>
              <w14:schemeClr w14:val="tx1"/>
            </w14:solidFill>
          </w14:textFill>
        </w:rPr>
      </w:pPr>
      <w:r>
        <w:rPr>
          <w:rFonts w:ascii="仿宋_GB2312" w:hAnsi="宋体" w:eastAsia="仿宋_GB2312"/>
          <w:sz w:val="32"/>
          <w:szCs w:val="32"/>
        </w:rPr>
        <w:t>（1）</w:t>
      </w:r>
      <w:r>
        <w:rPr>
          <w:rFonts w:hint="eastAsia" w:ascii="仿宋_GB2312" w:hAnsi="宋体" w:eastAsia="仿宋_GB2312"/>
          <w:sz w:val="32"/>
          <w:szCs w:val="32"/>
          <w:lang w:val="en-US" w:eastAsia="zh-CN"/>
        </w:rPr>
        <w:t>其他教育费附加安排的</w:t>
      </w:r>
      <w:r>
        <w:rPr>
          <w:rFonts w:ascii="仿宋_GB2312" w:hAnsi="宋体" w:eastAsia="仿宋_GB2312"/>
          <w:sz w:val="32"/>
          <w:szCs w:val="32"/>
        </w:rPr>
        <w:t>支出</w:t>
      </w:r>
      <w:r>
        <w:rPr>
          <w:rFonts w:hint="eastAsia" w:ascii="仿宋_GB2312" w:hAnsi="宋体" w:eastAsia="仿宋_GB2312"/>
          <w:sz w:val="32"/>
          <w:szCs w:val="32"/>
          <w:lang w:val="en-US" w:eastAsia="zh-CN"/>
        </w:rPr>
        <w:t>30.79</w:t>
      </w:r>
      <w:r>
        <w:rPr>
          <w:rFonts w:ascii="仿宋_GB2312" w:hAnsi="宋体" w:eastAsia="仿宋_GB2312"/>
          <w:sz w:val="32"/>
          <w:szCs w:val="32"/>
        </w:rPr>
        <w:t>万元。</w:t>
      </w:r>
      <w:r>
        <w:rPr>
          <w:rFonts w:hint="eastAsia" w:ascii="仿宋_GB2312" w:eastAsia="仿宋_GB2312"/>
          <w:sz w:val="32"/>
          <w:szCs w:val="32"/>
        </w:rPr>
        <w:t>主要用于幼儿园办公费、维修费、水电费等商品服务支出</w:t>
      </w:r>
      <w:r>
        <w:rPr>
          <w:rFonts w:hint="eastAsia" w:ascii="仿宋_GB2312" w:eastAsia="仿宋_GB2312"/>
          <w:sz w:val="32"/>
          <w:szCs w:val="32"/>
          <w:lang w:val="en-US" w:eastAsia="zh-CN"/>
        </w:rPr>
        <w:t>30.79万元</w:t>
      </w:r>
      <w:r>
        <w:rPr>
          <w:rFonts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ascii="仿宋_GB2312" w:hAnsi="宋体" w:eastAsia="仿宋_GB2312"/>
          <w:color w:val="000000" w:themeColor="text1"/>
          <w:sz w:val="32"/>
          <w:szCs w:val="32"/>
          <w14:textFill>
            <w14:solidFill>
              <w14:schemeClr w14:val="tx1"/>
            </w14:solidFill>
          </w14:textFill>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000000" w:themeColor="text1"/>
          <w:sz w:val="32"/>
          <w:szCs w:val="32"/>
          <w:lang w:eastAsia="zh-CN"/>
          <w14:textFill>
            <w14:solidFill>
              <w14:schemeClr w14:val="tx1"/>
            </w14:solidFill>
          </w14:textFill>
        </w:rPr>
        <w:t>。</w:t>
      </w:r>
    </w:p>
    <w:p w14:paraId="1A1F7E52">
      <w:pPr>
        <w:spacing w:line="560" w:lineRule="exact"/>
        <w:ind w:firstLine="660"/>
        <w:rPr>
          <w:rFonts w:hint="default" w:ascii="仿宋_GB2312" w:hAnsi="宋体" w:eastAsia="仿宋_GB2312"/>
          <w:sz w:val="32"/>
          <w:szCs w:val="32"/>
        </w:rPr>
      </w:pPr>
      <w:r>
        <w:rPr>
          <w:rFonts w:ascii="仿宋_GB2312" w:hAnsi="宋体" w:eastAsia="仿宋_GB2312"/>
          <w:color w:val="000000" w:themeColor="text1"/>
          <w:sz w:val="32"/>
          <w:szCs w:val="32"/>
          <w14:textFill>
            <w14:solidFill>
              <w14:schemeClr w14:val="tx1"/>
            </w14:solidFill>
          </w14:textFill>
        </w:rPr>
        <w:t>（2）</w:t>
      </w:r>
      <w:r>
        <w:rPr>
          <w:rFonts w:hint="eastAsia" w:ascii="仿宋_GB2312" w:hAnsi="宋体" w:eastAsia="仿宋_GB2312"/>
          <w:color w:val="000000" w:themeColor="text1"/>
          <w:sz w:val="32"/>
          <w:szCs w:val="32"/>
          <w:lang w:val="en-US" w:eastAsia="zh-CN"/>
          <w14:textFill>
            <w14:solidFill>
              <w14:schemeClr w14:val="tx1"/>
            </w14:solidFill>
          </w14:textFill>
        </w:rPr>
        <w:t>学前教育247.31万元。主要用于幼儿园的资本性</w:t>
      </w:r>
      <w:r>
        <w:rPr>
          <w:rFonts w:ascii="仿宋_GB2312" w:hAnsi="宋体" w:eastAsia="仿宋_GB2312"/>
          <w:color w:val="000000" w:themeColor="text1"/>
          <w:sz w:val="32"/>
          <w:szCs w:val="32"/>
          <w14:textFill>
            <w14:solidFill>
              <w14:schemeClr w14:val="tx1"/>
            </w14:solidFill>
          </w14:textFill>
        </w:rPr>
        <w:t>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ascii="仿宋_GB2312" w:hAnsi="宋体" w:eastAsia="仿宋_GB2312"/>
          <w:color w:val="000000" w:themeColor="text1"/>
          <w:sz w:val="32"/>
          <w:szCs w:val="32"/>
          <w14:textFill>
            <w14:solidFill>
              <w14:schemeClr w14:val="tx1"/>
            </w14:solidFill>
          </w14:textFill>
        </w:rPr>
        <w:t>%</w:t>
      </w:r>
      <w:r>
        <w:rPr>
          <w:rFonts w:hint="eastAsia" w:ascii="仿宋_GB2312" w:eastAsia="仿宋_GB2312"/>
          <w:sz w:val="32"/>
          <w:szCs w:val="32"/>
          <w:lang w:val="en-US" w:eastAsia="zh-CN"/>
        </w:rPr>
        <w:t>，决算数等于年初预算数的原因是完全按照预算执行。</w:t>
      </w:r>
    </w:p>
    <w:p w14:paraId="58A88DBC">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14:paraId="14540909">
      <w:pPr>
        <w:numPr>
          <w:ilvl w:val="0"/>
          <w:numId w:val="0"/>
        </w:numPr>
        <w:spacing w:line="540" w:lineRule="exact"/>
        <w:ind w:firstLine="1280" w:firstLineChars="400"/>
        <w:outlineLvl w:val="2"/>
        <w:rPr>
          <w:rFonts w:hint="default" w:ascii="黑体" w:hAnsi="黑体" w:eastAsia="楷体_GB2312"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14:paraId="11B6A698">
      <w:pPr>
        <w:numPr>
          <w:ilvl w:val="0"/>
          <w:numId w:val="3"/>
        </w:num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国有资本经营预算财政拨款支出情况。</w:t>
      </w:r>
    </w:p>
    <w:p w14:paraId="7DE14EBA">
      <w:pPr>
        <w:numPr>
          <w:ilvl w:val="0"/>
          <w:numId w:val="0"/>
        </w:numPr>
        <w:spacing w:line="540" w:lineRule="exact"/>
        <w:ind w:firstLine="1280" w:firstLineChars="400"/>
        <w:outlineLvl w:val="2"/>
        <w:rPr>
          <w:rFonts w:hint="default" w:ascii="黑体" w:hAnsi="黑体" w:eastAsia="楷体_GB2312"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14:paraId="237AEC89">
      <w:pPr>
        <w:pStyle w:val="6"/>
        <w:numPr>
          <w:ilvl w:val="0"/>
          <w:numId w:val="2"/>
        </w:numPr>
        <w:spacing w:line="560" w:lineRule="exact"/>
        <w:ind w:left="-10" w:leftChars="0" w:firstLine="640" w:firstLineChars="0"/>
        <w:rPr>
          <w:rFonts w:ascii="黑体" w:eastAsia="黑体"/>
          <w:sz w:val="32"/>
        </w:rPr>
      </w:pPr>
      <w:r>
        <w:rPr>
          <w:rFonts w:ascii="黑体" w:eastAsia="黑体"/>
          <w:sz w:val="32"/>
        </w:rPr>
        <w:t>一般公共预算财政拨款“三公”经费支出决算情况说明</w:t>
      </w:r>
    </w:p>
    <w:p w14:paraId="5094C018">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520CCA3D">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611F2D56">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71937288">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5AAD3DBC">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ABDC6CD">
      <w:pPr>
        <w:pStyle w:val="6"/>
        <w:autoSpaceDN w:val="0"/>
        <w:spacing w:line="560" w:lineRule="exact"/>
        <w:ind w:firstLine="640"/>
        <w:rPr>
          <w:rFonts w:hint="default" w:ascii="仿宋_GB2312" w:eastAsia="仿宋_GB2312"/>
          <w:sz w:val="32"/>
          <w:highlight w:val="yellow"/>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w:t>
      </w:r>
      <w:r>
        <w:rPr>
          <w:rFonts w:hint="eastAsia" w:ascii="仿宋_GB2312" w:eastAsia="仿宋_GB2312"/>
          <w:sz w:val="32"/>
          <w:highlight w:val="none"/>
          <w:lang w:eastAsia="zh-CN"/>
        </w:rPr>
        <w:t>务</w:t>
      </w:r>
      <w:r>
        <w:rPr>
          <w:rFonts w:ascii="仿宋_GB2312" w:eastAsia="仿宋_GB2312"/>
          <w:sz w:val="32"/>
          <w:highlight w:val="none"/>
        </w:rPr>
        <w:t>。</w:t>
      </w:r>
    </w:p>
    <w:p w14:paraId="4B96A8E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1CBEFA10">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278.1</w:t>
      </w:r>
      <w:r>
        <w:rPr>
          <w:rFonts w:ascii="仿宋_GB2312" w:eastAsia="仿宋_GB2312"/>
          <w:sz w:val="32"/>
        </w:rPr>
        <w:t>万元，其中：人员经费</w:t>
      </w:r>
      <w:r>
        <w:rPr>
          <w:rFonts w:hint="eastAsia" w:ascii="仿宋_GB2312" w:eastAsia="仿宋_GB2312"/>
          <w:sz w:val="32"/>
          <w:lang w:val="en-US" w:eastAsia="zh-CN"/>
        </w:rPr>
        <w:t>30.79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247.31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03E6B3E">
      <w:pPr>
        <w:pStyle w:val="6"/>
        <w:spacing w:line="560" w:lineRule="exact"/>
        <w:ind w:firstLine="640"/>
        <w:rPr>
          <w:rFonts w:hint="default" w:ascii="黑体" w:eastAsia="黑体"/>
          <w:sz w:val="32"/>
        </w:rPr>
      </w:pPr>
      <w:r>
        <w:rPr>
          <w:rFonts w:ascii="黑体" w:eastAsia="黑体"/>
          <w:sz w:val="32"/>
        </w:rPr>
        <w:t>五、其他重要事项的情况说明</w:t>
      </w:r>
    </w:p>
    <w:p w14:paraId="19DB6A42">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78FD3E55">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与上年持平，主要原因是沈阳市浑南区第教育局店幼儿园属于事业单位，无机关运行经费</w:t>
      </w:r>
      <w:r>
        <w:rPr>
          <w:rFonts w:ascii="仿宋_GB2312" w:eastAsia="仿宋_GB2312"/>
          <w:sz w:val="32"/>
        </w:rPr>
        <w:t>。</w:t>
      </w:r>
    </w:p>
    <w:p w14:paraId="7978EC8C">
      <w:pPr>
        <w:pStyle w:val="6"/>
        <w:spacing w:line="560" w:lineRule="exact"/>
        <w:ind w:firstLine="640"/>
        <w:rPr>
          <w:rFonts w:ascii="仿宋_GB2312" w:eastAsia="仿宋_GB2312"/>
          <w:sz w:val="32"/>
        </w:rPr>
      </w:pPr>
    </w:p>
    <w:p w14:paraId="79B84432">
      <w:pPr>
        <w:pStyle w:val="6"/>
        <w:spacing w:line="560" w:lineRule="exact"/>
        <w:ind w:firstLine="640"/>
        <w:rPr>
          <w:rFonts w:ascii="仿宋_GB2312" w:eastAsia="仿宋_GB2312"/>
          <w:sz w:val="32"/>
        </w:rPr>
      </w:pPr>
    </w:p>
    <w:p w14:paraId="1BF6DF58">
      <w:pPr>
        <w:pStyle w:val="6"/>
        <w:spacing w:line="560" w:lineRule="exact"/>
        <w:ind w:firstLine="640"/>
        <w:rPr>
          <w:rFonts w:hint="default" w:ascii="仿宋_GB2312" w:eastAsia="仿宋_GB2312"/>
          <w:sz w:val="32"/>
        </w:rPr>
      </w:pPr>
    </w:p>
    <w:p w14:paraId="672F7029">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14:paraId="19D91B13">
      <w:pPr>
        <w:pStyle w:val="6"/>
        <w:numPr>
          <w:ilvl w:val="0"/>
          <w:numId w:val="0"/>
        </w:numPr>
        <w:spacing w:line="560" w:lineRule="exact"/>
        <w:ind w:firstLine="640" w:firstLineChars="20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p>
    <w:p w14:paraId="4B0B0548">
      <w:pPr>
        <w:pStyle w:val="6"/>
        <w:numPr>
          <w:ilvl w:val="0"/>
          <w:numId w:val="5"/>
        </w:numPr>
        <w:spacing w:line="560" w:lineRule="exact"/>
        <w:ind w:left="-10" w:leftChars="0" w:firstLine="640" w:firstLineChars="0"/>
        <w:rPr>
          <w:rFonts w:ascii="楷体_GB2312" w:eastAsia="楷体_GB2312"/>
          <w:b/>
          <w:sz w:val="32"/>
        </w:rPr>
      </w:pPr>
      <w:r>
        <w:rPr>
          <w:rFonts w:ascii="楷体_GB2312" w:eastAsia="楷体_GB2312"/>
          <w:b/>
          <w:sz w:val="32"/>
        </w:rPr>
        <w:t>国有资产占用情况。</w:t>
      </w:r>
    </w:p>
    <w:p w14:paraId="38F58395">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A7D17F3">
      <w:pPr>
        <w:pStyle w:val="6"/>
        <w:numPr>
          <w:ilvl w:val="0"/>
          <w:numId w:val="5"/>
        </w:numPr>
        <w:spacing w:line="560" w:lineRule="exact"/>
        <w:ind w:left="-10" w:leftChars="0" w:firstLine="640" w:firstLineChars="0"/>
        <w:rPr>
          <w:rFonts w:ascii="楷体_GB2312" w:eastAsia="楷体_GB2312"/>
          <w:b/>
          <w:sz w:val="32"/>
        </w:rPr>
      </w:pPr>
      <w:r>
        <w:rPr>
          <w:rFonts w:ascii="楷体_GB2312" w:eastAsia="楷体_GB2312"/>
          <w:b/>
          <w:sz w:val="32"/>
        </w:rPr>
        <w:t>预算绩效管理工作开展情况</w:t>
      </w:r>
    </w:p>
    <w:p w14:paraId="31394B6D">
      <w:pPr>
        <w:widowControl/>
        <w:spacing w:line="560" w:lineRule="exact"/>
        <w:ind w:firstLine="640" w:firstLineChars="200"/>
        <w:rPr>
          <w:rFonts w:hint="default"/>
          <w:b/>
          <w:sz w:val="36"/>
          <w:lang w:val="en-US"/>
        </w:rPr>
      </w:pPr>
      <w:r>
        <w:rPr>
          <w:rFonts w:hint="eastAsia" w:ascii="仿宋_GB2312" w:hAnsi="宋体" w:eastAsia="仿宋_GB2312" w:cs="仿宋_GB2312"/>
          <w:color w:val="auto"/>
          <w:kern w:val="2"/>
          <w:sz w:val="32"/>
          <w:szCs w:val="32"/>
          <w:highlight w:val="none"/>
          <w:shd w:val="clear" w:color="auto" w:fill="auto"/>
          <w:lang w:val="en-US" w:eastAsia="zh-CN" w:bidi="ar"/>
        </w:rPr>
        <w:t>本单位2022年不涉及特定目标类项目，因为无绩效评价。</w:t>
      </w:r>
    </w:p>
    <w:p w14:paraId="32D5D4A9">
      <w:pPr>
        <w:pStyle w:val="6"/>
        <w:spacing w:line="560" w:lineRule="exact"/>
        <w:rPr>
          <w:rFonts w:hint="default"/>
          <w:b/>
          <w:sz w:val="36"/>
        </w:rPr>
      </w:pPr>
    </w:p>
    <w:p w14:paraId="11A64425">
      <w:pPr>
        <w:pStyle w:val="9"/>
        <w:numPr>
          <w:ilvl w:val="0"/>
          <w:numId w:val="1"/>
        </w:numPr>
        <w:autoSpaceDN w:val="0"/>
        <w:spacing w:line="560" w:lineRule="exact"/>
        <w:ind w:left="0" w:leftChars="0" w:firstLine="0" w:firstLineChars="0"/>
        <w:jc w:val="center"/>
        <w:rPr>
          <w:rFonts w:hint="eastAsia"/>
          <w:b/>
          <w:bCs/>
          <w:sz w:val="36"/>
          <w:szCs w:val="36"/>
        </w:rPr>
      </w:pPr>
      <w:r>
        <w:rPr>
          <w:rFonts w:hint="eastAsia"/>
          <w:b/>
          <w:bCs/>
          <w:sz w:val="36"/>
          <w:szCs w:val="36"/>
        </w:rPr>
        <w:t>名词解释</w:t>
      </w:r>
    </w:p>
    <w:p w14:paraId="7799BF52">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3576BE6">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42D2E7AE">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B8371B1">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FC8B816">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7ED69F93">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77B0718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13F5A2BF">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11C76198">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1EBB6EA">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3B61DE8F">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F3CD020">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3BB4FBE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23739B88">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E24BD45">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1DBA902">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5AAEC7CF">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9B959D7">
      <w:pPr>
        <w:pStyle w:val="6"/>
        <w:spacing w:line="560" w:lineRule="exact"/>
        <w:ind w:firstLine="640"/>
        <w:rPr>
          <w:rFonts w:hint="default" w:ascii="仿宋_GB2312" w:eastAsia="仿宋_GB2312"/>
          <w:i/>
          <w:sz w:val="32"/>
          <w:u w:val="single"/>
        </w:rPr>
      </w:pPr>
    </w:p>
    <w:p w14:paraId="74BA1FD1">
      <w:pPr>
        <w:pStyle w:val="6"/>
        <w:spacing w:line="560" w:lineRule="atLeast"/>
        <w:jc w:val="left"/>
        <w:rPr>
          <w:rFonts w:hint="default" w:ascii="仿宋_GB2312" w:hAnsi="仿宋_GB2312" w:eastAsia="仿宋_GB2312" w:cs="仿宋_GB2312"/>
          <w:b/>
          <w:sz w:val="52"/>
          <w:szCs w:val="52"/>
        </w:rPr>
      </w:pPr>
    </w:p>
    <w:p w14:paraId="460901DD">
      <w:pPr>
        <w:pStyle w:val="6"/>
        <w:spacing w:line="560" w:lineRule="atLeast"/>
        <w:jc w:val="left"/>
        <w:rPr>
          <w:rFonts w:hint="default" w:ascii="仿宋_GB2312" w:hAnsi="仿宋_GB2312" w:eastAsia="仿宋_GB2312" w:cs="仿宋_GB2312"/>
          <w:b/>
          <w:sz w:val="52"/>
          <w:szCs w:val="52"/>
        </w:rPr>
      </w:pPr>
    </w:p>
    <w:p w14:paraId="19B505B7">
      <w:pPr>
        <w:pStyle w:val="6"/>
        <w:spacing w:line="560" w:lineRule="atLeast"/>
        <w:jc w:val="left"/>
        <w:rPr>
          <w:rFonts w:hint="default" w:ascii="仿宋_GB2312" w:hAnsi="仿宋_GB2312" w:eastAsia="仿宋_GB2312" w:cs="仿宋_GB2312"/>
          <w:b/>
          <w:sz w:val="52"/>
          <w:szCs w:val="52"/>
        </w:rPr>
      </w:pPr>
    </w:p>
    <w:p w14:paraId="6705AE3A">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浑南区教育局第三幼儿园</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487EB604">
      <w:pPr>
        <w:rPr>
          <w:rFonts w:hint="default" w:ascii="仿宋_GB2312" w:hAnsi="宋体" w:eastAsia="仿宋_GB2312"/>
          <w:kern w:val="0"/>
          <w:sz w:val="32"/>
        </w:rPr>
      </w:pPr>
    </w:p>
    <w:p w14:paraId="78A51AFC">
      <w:pPr>
        <w:rPr>
          <w:rFonts w:hint="default" w:ascii="仿宋_GB2312" w:hAnsi="宋体" w:eastAsia="仿宋_GB2312"/>
          <w:kern w:val="0"/>
          <w:sz w:val="32"/>
        </w:rPr>
      </w:pPr>
    </w:p>
    <w:p w14:paraId="255C59BA">
      <w:pPr>
        <w:rPr>
          <w:rFonts w:hint="default" w:ascii="仿宋_GB2312" w:hAnsi="宋体" w:eastAsia="仿宋_GB2312"/>
          <w:kern w:val="0"/>
          <w:sz w:val="32"/>
        </w:rPr>
      </w:pPr>
    </w:p>
    <w:p w14:paraId="39405265">
      <w:pPr>
        <w:rPr>
          <w:rFonts w:hint="default" w:ascii="仿宋_GB2312" w:hAnsi="宋体" w:eastAsia="仿宋_GB2312"/>
          <w:kern w:val="0"/>
          <w:sz w:val="32"/>
        </w:rPr>
      </w:pPr>
    </w:p>
    <w:p w14:paraId="282314AF">
      <w:pPr>
        <w:rPr>
          <w:rFonts w:hint="default" w:ascii="仿宋_GB2312" w:hAnsi="宋体" w:eastAsia="仿宋_GB2312"/>
          <w:kern w:val="0"/>
          <w:sz w:val="32"/>
        </w:rPr>
      </w:pPr>
    </w:p>
    <w:p w14:paraId="434215B1">
      <w:pPr>
        <w:rPr>
          <w:rFonts w:hint="default" w:ascii="仿宋_GB2312" w:hAnsi="宋体" w:eastAsia="仿宋_GB2312"/>
          <w:kern w:val="0"/>
          <w:sz w:val="32"/>
        </w:rPr>
      </w:pPr>
    </w:p>
    <w:p w14:paraId="50384542">
      <w:pPr>
        <w:jc w:val="center"/>
        <w:rPr>
          <w:rFonts w:hint="eastAsia" w:ascii="宋体" w:hAnsi="宋体"/>
          <w:b/>
          <w:sz w:val="52"/>
          <w:szCs w:val="52"/>
        </w:rPr>
      </w:pPr>
    </w:p>
    <w:p w14:paraId="6591890B">
      <w:pPr>
        <w:jc w:val="center"/>
        <w:rPr>
          <w:rFonts w:hint="eastAsia" w:ascii="宋体" w:hAnsi="宋体"/>
          <w:b/>
          <w:sz w:val="52"/>
          <w:szCs w:val="52"/>
        </w:rPr>
      </w:pPr>
    </w:p>
    <w:p w14:paraId="7861D0EA">
      <w:pPr>
        <w:jc w:val="center"/>
        <w:rPr>
          <w:rFonts w:hint="eastAsia" w:ascii="宋体" w:hAnsi="宋体"/>
          <w:b/>
          <w:sz w:val="52"/>
          <w:szCs w:val="52"/>
        </w:rPr>
      </w:pPr>
    </w:p>
    <w:p w14:paraId="001E7619">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5427C5A4">
      <w:pPr>
        <w:widowControl w:val="0"/>
        <w:numPr>
          <w:ilvl w:val="0"/>
          <w:numId w:val="0"/>
        </w:numPr>
        <w:jc w:val="center"/>
        <w:rPr>
          <w:rFonts w:hint="default" w:ascii="宋体" w:hAnsi="宋体"/>
          <w:b/>
          <w:sz w:val="52"/>
          <w:szCs w:val="52"/>
          <w:lang w:eastAsia="zh-CN"/>
        </w:rPr>
      </w:pPr>
    </w:p>
    <w:p w14:paraId="1565CC58">
      <w:pPr>
        <w:widowControl w:val="0"/>
        <w:numPr>
          <w:ilvl w:val="0"/>
          <w:numId w:val="0"/>
        </w:numPr>
        <w:jc w:val="center"/>
        <w:rPr>
          <w:rFonts w:hint="default" w:ascii="宋体" w:hAnsi="宋体"/>
          <w:b/>
          <w:sz w:val="52"/>
          <w:szCs w:val="52"/>
          <w:lang w:eastAsia="zh-CN"/>
        </w:rPr>
      </w:pPr>
    </w:p>
    <w:p w14:paraId="05DBEE55">
      <w:pPr>
        <w:widowControl w:val="0"/>
        <w:numPr>
          <w:ilvl w:val="0"/>
          <w:numId w:val="0"/>
        </w:numPr>
        <w:jc w:val="center"/>
        <w:rPr>
          <w:rFonts w:hint="default" w:ascii="宋体" w:hAnsi="宋体"/>
          <w:b/>
          <w:sz w:val="52"/>
          <w:szCs w:val="52"/>
          <w:lang w:eastAsia="zh-CN"/>
        </w:rPr>
      </w:pPr>
    </w:p>
    <w:p w14:paraId="6E6F3025">
      <w:pPr>
        <w:widowControl w:val="0"/>
        <w:numPr>
          <w:ilvl w:val="0"/>
          <w:numId w:val="0"/>
        </w:numPr>
        <w:jc w:val="center"/>
        <w:rPr>
          <w:rFonts w:hint="default" w:ascii="宋体" w:hAnsi="宋体"/>
          <w:b/>
          <w:sz w:val="52"/>
          <w:szCs w:val="52"/>
          <w:lang w:eastAsia="zh-CN"/>
        </w:rPr>
      </w:pPr>
    </w:p>
    <w:p w14:paraId="76FA00B2">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64F3F">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81079">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A9B85">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78366">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E0579">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D30D4">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368B0"/>
    <w:multiLevelType w:val="singleLevel"/>
    <w:tmpl w:val="A0C368B0"/>
    <w:lvl w:ilvl="0" w:tentative="0">
      <w:start w:val="1"/>
      <w:numFmt w:val="chineseCounting"/>
      <w:suff w:val="space"/>
      <w:lvlText w:val="第%1部分"/>
      <w:lvlJc w:val="left"/>
      <w:rPr>
        <w:rFonts w:hint="eastAsia"/>
      </w:rPr>
    </w:lvl>
  </w:abstractNum>
  <w:abstractNum w:abstractNumId="1">
    <w:nsid w:val="EE9F3057"/>
    <w:multiLevelType w:val="singleLevel"/>
    <w:tmpl w:val="EE9F3057"/>
    <w:lvl w:ilvl="0" w:tentative="0">
      <w:start w:val="2"/>
      <w:numFmt w:val="chineseCounting"/>
      <w:suff w:val="nothing"/>
      <w:lvlText w:val="%1、"/>
      <w:lvlJc w:val="left"/>
      <w:pPr>
        <w:ind w:left="-10"/>
      </w:pPr>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5DDDE7F"/>
    <w:multiLevelType w:val="singleLevel"/>
    <w:tmpl w:val="45DDDE7F"/>
    <w:lvl w:ilvl="0" w:tentative="0">
      <w:start w:val="4"/>
      <w:numFmt w:val="chineseCounting"/>
      <w:suff w:val="nothing"/>
      <w:lvlText w:val="（%1）"/>
      <w:lvlJc w:val="left"/>
      <w:rPr>
        <w:rFonts w:hint="eastAsia"/>
      </w:rPr>
    </w:lvl>
  </w:abstractNum>
  <w:abstractNum w:abstractNumId="4">
    <w:nsid w:val="67630EA7"/>
    <w:multiLevelType w:val="singleLevel"/>
    <w:tmpl w:val="67630EA7"/>
    <w:lvl w:ilvl="0" w:tentative="0">
      <w:start w:val="3"/>
      <w:numFmt w:val="chineseCounting"/>
      <w:suff w:val="nothing"/>
      <w:lvlText w:val="（%1）"/>
      <w:lvlJc w:val="left"/>
      <w:pPr>
        <w:ind w:left="-10"/>
      </w:pPr>
      <w:rPr>
        <w:rFonts w:hint="eastAsia"/>
      </w:rPr>
    </w:lvl>
  </w:abstractNum>
  <w:abstractNum w:abstractNumId="5">
    <w:nsid w:val="73FDE5F6"/>
    <w:multiLevelType w:val="singleLevel"/>
    <w:tmpl w:val="73FDE5F6"/>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31E7F"/>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5F70E7"/>
    <w:rsid w:val="01622E76"/>
    <w:rsid w:val="079F7446"/>
    <w:rsid w:val="082C6248"/>
    <w:rsid w:val="09C4782E"/>
    <w:rsid w:val="0ECB7368"/>
    <w:rsid w:val="0FD91C07"/>
    <w:rsid w:val="11612EA5"/>
    <w:rsid w:val="12CC5588"/>
    <w:rsid w:val="131E2240"/>
    <w:rsid w:val="178D3135"/>
    <w:rsid w:val="1B9703C5"/>
    <w:rsid w:val="1C635C29"/>
    <w:rsid w:val="1C6537BA"/>
    <w:rsid w:val="1D326D3C"/>
    <w:rsid w:val="25AF1851"/>
    <w:rsid w:val="286C4199"/>
    <w:rsid w:val="28977847"/>
    <w:rsid w:val="2A3D2189"/>
    <w:rsid w:val="2E4F6256"/>
    <w:rsid w:val="36230505"/>
    <w:rsid w:val="37E62316"/>
    <w:rsid w:val="39953299"/>
    <w:rsid w:val="3BA207ED"/>
    <w:rsid w:val="41F93484"/>
    <w:rsid w:val="43ED4466"/>
    <w:rsid w:val="46CA2860"/>
    <w:rsid w:val="474C6DD1"/>
    <w:rsid w:val="54F6469B"/>
    <w:rsid w:val="59C52B8D"/>
    <w:rsid w:val="5AE973A2"/>
    <w:rsid w:val="5B697371"/>
    <w:rsid w:val="5DC83438"/>
    <w:rsid w:val="67277FC8"/>
    <w:rsid w:val="673C6F2C"/>
    <w:rsid w:val="6DA15E5C"/>
    <w:rsid w:val="6FE5071F"/>
    <w:rsid w:val="70C70595"/>
    <w:rsid w:val="724179B2"/>
    <w:rsid w:val="770F5700"/>
    <w:rsid w:val="7D024843"/>
    <w:rsid w:val="7EE05B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3371</Words>
  <Characters>3567</Characters>
  <Lines>37</Lines>
  <Paragraphs>10</Paragraphs>
  <TotalTime>0</TotalTime>
  <ScaleCrop>false</ScaleCrop>
  <LinksUpToDate>false</LinksUpToDate>
  <CharactersWithSpaces>3600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2025-12-15T07:52:35Z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B1A47089AB4F4945BB1104F5CDDD9B5F_13</vt:lpwstr>
  </property>
  <property fmtid="{D5CDD505-2E9C-101B-9397-08002B2CF9AE}" pid="4" name="KSOTemplateDocerSaveRecord">
    <vt:lpwstr>eyJoZGlkIjoiMGIzNzkwNzBhMjkxZjY3M2Y0M2FlNWY0ZjU5M2FmMWQiLCJ1c2VySWQiOiIyMzQ0MjI2NjQifQ==</vt:lpwstr>
  </property>
</Properties>
</file>