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辽宁省沈阳市浑南区教育事务服务中心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辽宁省沈阳市浑南区教育事务服务中心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辽宁省沈阳市浑南区教育事务服务中心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辽宁省沈阳市浑南区教育事务服务中心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辽宁省沈阳市浑南区教育事务服务中心概况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（一）负责全区教育质量评估工作。</w:t>
        <w:br/>
        <w:t xml:space="preserve">    （二）负责学生健康检查及体质健康监测工作，指导学校卫生保健工作和中小学生常见病的防治工作。</w:t>
        <w:br/>
        <w:t xml:space="preserve">    （三）针对未成年人的身心特点和教育需求，开展心理健康咨询工作，开展青少年课外知识与能力拓展培训工作；承担中小学社会实践组织工作。</w:t>
        <w:br/>
        <w:t xml:space="preserve">    （四）开展终身教育课程开发、理论研究、职业技能培训等工作。</w:t>
        <w:br/>
        <w:t xml:space="preserve">    （五）负责区内中小学及公办幼儿园校舍改造及维修工作。</w:t>
        <w:br/>
        <w:t xml:space="preserve">    （六）承担区教育局交办的其他事项。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辽宁省沈阳市浑南区教育事务服务中心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本单位是纳入浑南区教育局管理的二级预算单位，无下设机构。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624.19</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624.14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99.99</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624.14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0.01</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减少110.95万元，降低15.09%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在编人员减少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624.19</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530.98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85.07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工资福利支出504.58万元；商品和服务支出18.78万元；对个人和家庭的补助7.63万元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93.20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14.93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主要包括单位绩效工资、物业费和学生体检劳务费等业务支出。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减少99.77万元，降低13.78%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人员退休、职工绩效工资和项目支出等减少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减少11.18万元，降低100.00%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上缴财政局</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624.14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530.98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93.15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减少68.98万元，降低9.95%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人员退休、职工绩效工资和项目支出等减少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81.13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82.80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72.78</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2024年度一般公共预算财政拨款支出624.14万元。按支出功能分类科目分，包括：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1.教育支出513.24万元，具体包括：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其他普通教育支出（项）513.24万元,主要是教师工资福利、商品和服务及对家庭和个人补助等支出，完成年初预算的76.37%，决算数与年初预算数存在差异的主要原因是人员减少工资福利减少及商品服务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2.社会保障和就业支出87.58万元，具体包括：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7.63万元,主要是退休采暖费等支出，完成年初预算的105.53%，决算数与年初预算数存在差异的主要原因是增加退休人员子女奖励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56.40万元,主要是职工养老缴费单位部分等支出，完成年初预算的92.76%，决算数与年初预算数存在差异的主要原因是人员退休及缴费总金额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23.55万元,主要是退休人员职业年单位部分及年金利息等支出，完成年初预算的100%，决算数与年初预算数存在差异的主要原因是完全按照预算安排，因此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3.卫生健康支出23.32万元，具体包括：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23.32万元,主要是职工医疗生育保险及大额医疗保险等支出，完成年初预算的83.26%，决算数与年初预算数存在差异的主要原因是人员减少及医疗补助未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530.99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512.21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18.78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沈阳市浑南区教育事务服务中心属于事业单位，无机关运行经费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具体而言，本年度我部门共组织对10个项目实施了绩效评价。从预算资金来源看，涉及一般公共预算的项目10个，涉及政府性基金预算的项目0个，涉及国有资本经营预算的项目0个。</w:t>
        <w:br/>
        <w:t xml:space="preserve">    上述评价工作共涉及财政资金201.59万元。其中，一般公共预算资金201.59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0个；得分在60分（含）至80分、等级为“中”的项目有1个；得分在60分以下、等级为“差”的项目有5个。各项目自评发现，部分项目存在预算执行进度偏慢、个别效益指标未能完全达成等问题，已要求相关项目单位分析原因并制定改进措施。</w:t>
        <w:br/>
        <w:t xml:space="preserve">    3.部门重点评价情况及结果。</w:t>
        <w:br/>
        <w:t xml:space="preserve">    在全面自评的基础上，本部门选取了1个资金量大、社会关注度高、具有代表性的重点项目实施了部门重点评价。评价工作通过组建货币化评价小组方式进行，确保了评价结果的客观性和公正性。</w:t>
        <w:br/>
        <w:t xml:space="preserve">    我部门组织对1个项目重点评价，结果显示，被评价项目整体绩效情况良好。其中：第一个重点项目为职工住房货币化补贴，涉及资金9.24万元，评价平均分为100分，评级情况为优等；同时，评价也发现该项目存在绩效指标设置不够细化、资金使用效益有待进一步提升等问题。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16.教育支出（类）普通教育（款）其他普通教育支出（项）：主要是教师工资福利、商品和服务及对家庭和个人补助等支出。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624.14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513.29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87.58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23.32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624.14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624.19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0.05</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624.19</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624.19</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624.14</w:t>
            </w:r>
          </w:p>
        </w:tc>
        <w:tc>
          <w:tcPr>
            <w:tcW w:w="960" w:type="dxa"/>
            <w:tcBorders/>
            <w:vAlign w:val="center"/>
          </w:tcPr>
          <w:p>
            <w:pPr>
              <w:jc w:val="right"/>
            </w:pPr>
            <w:r>
              <w:rPr>
                <w:rFonts w:ascii="宋体" w:eastAsia="宋体" w:hAnsi="宋体" w:cs="宋体"/>
                <w:b/>
                <w:i w:val="0"/>
                <w:color w:val="000000"/>
                <w:sz w:val="13"/>
              </w:rPr>
              <w:t xml:space="preserve">624.14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513.24</w:t>
            </w:r>
          </w:p>
        </w:tc>
        <w:tc>
          <w:tcPr>
            <w:tcW w:w="960" w:type="dxa"/>
            <w:tcBorders/>
            <w:vAlign w:val="center"/>
          </w:tcPr>
          <w:p>
            <w:pPr>
              <w:jc w:val="right"/>
            </w:pPr>
            <w:r>
              <w:rPr>
                <w:rFonts w:ascii="宋体" w:eastAsia="宋体" w:hAnsi="宋体" w:cs="宋体"/>
                <w:b w:val="0"/>
                <w:i w:val="0"/>
                <w:color w:val="000000"/>
                <w:sz w:val="13"/>
              </w:rPr>
              <w:t xml:space="preserve">513.24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513.24</w:t>
            </w:r>
          </w:p>
        </w:tc>
        <w:tc>
          <w:tcPr>
            <w:tcW w:w="960" w:type="dxa"/>
            <w:tcBorders/>
            <w:vAlign w:val="center"/>
          </w:tcPr>
          <w:p>
            <w:pPr>
              <w:jc w:val="right"/>
            </w:pPr>
            <w:r>
              <w:rPr>
                <w:rFonts w:ascii="宋体" w:eastAsia="宋体" w:hAnsi="宋体" w:cs="宋体"/>
                <w:b w:val="0"/>
                <w:i w:val="0"/>
                <w:color w:val="000000"/>
                <w:sz w:val="13"/>
              </w:rPr>
              <w:t xml:space="preserve">513.24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513.24</w:t>
            </w:r>
          </w:p>
        </w:tc>
        <w:tc>
          <w:tcPr>
            <w:tcW w:w="960" w:type="dxa"/>
            <w:tcBorders/>
            <w:vAlign w:val="center"/>
          </w:tcPr>
          <w:p>
            <w:pPr>
              <w:jc w:val="right"/>
            </w:pPr>
            <w:r>
              <w:rPr>
                <w:rFonts w:ascii="宋体" w:eastAsia="宋体" w:hAnsi="宋体" w:cs="宋体"/>
                <w:b w:val="0"/>
                <w:i w:val="0"/>
                <w:color w:val="000000"/>
                <w:sz w:val="13"/>
              </w:rPr>
              <w:t xml:space="preserve">513.24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87.58</w:t>
            </w:r>
          </w:p>
        </w:tc>
        <w:tc>
          <w:tcPr>
            <w:tcW w:w="960" w:type="dxa"/>
            <w:tcBorders/>
            <w:vAlign w:val="center"/>
          </w:tcPr>
          <w:p>
            <w:pPr>
              <w:jc w:val="right"/>
            </w:pPr>
            <w:r>
              <w:rPr>
                <w:rFonts w:ascii="宋体" w:eastAsia="宋体" w:hAnsi="宋体" w:cs="宋体"/>
                <w:b w:val="0"/>
                <w:i w:val="0"/>
                <w:color w:val="000000"/>
                <w:sz w:val="13"/>
              </w:rPr>
              <w:t xml:space="preserve">87.58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87.58</w:t>
            </w:r>
          </w:p>
        </w:tc>
        <w:tc>
          <w:tcPr>
            <w:tcW w:w="960" w:type="dxa"/>
            <w:tcBorders/>
            <w:vAlign w:val="center"/>
          </w:tcPr>
          <w:p>
            <w:pPr>
              <w:jc w:val="right"/>
            </w:pPr>
            <w:r>
              <w:rPr>
                <w:rFonts w:ascii="宋体" w:eastAsia="宋体" w:hAnsi="宋体" w:cs="宋体"/>
                <w:b w:val="0"/>
                <w:i w:val="0"/>
                <w:color w:val="000000"/>
                <w:sz w:val="13"/>
              </w:rPr>
              <w:t xml:space="preserve">87.58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7.63</w:t>
            </w:r>
          </w:p>
        </w:tc>
        <w:tc>
          <w:tcPr>
            <w:tcW w:w="960" w:type="dxa"/>
            <w:tcBorders/>
            <w:vAlign w:val="center"/>
          </w:tcPr>
          <w:p>
            <w:pPr>
              <w:jc w:val="right"/>
            </w:pPr>
            <w:r>
              <w:rPr>
                <w:rFonts w:ascii="宋体" w:eastAsia="宋体" w:hAnsi="宋体" w:cs="宋体"/>
                <w:b w:val="0"/>
                <w:i w:val="0"/>
                <w:color w:val="000000"/>
                <w:sz w:val="13"/>
              </w:rPr>
              <w:t xml:space="preserve">7.63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56.40</w:t>
            </w:r>
          </w:p>
        </w:tc>
        <w:tc>
          <w:tcPr>
            <w:tcW w:w="960" w:type="dxa"/>
            <w:tcBorders/>
            <w:vAlign w:val="center"/>
          </w:tcPr>
          <w:p>
            <w:pPr>
              <w:jc w:val="right"/>
            </w:pPr>
            <w:r>
              <w:rPr>
                <w:rFonts w:ascii="宋体" w:eastAsia="宋体" w:hAnsi="宋体" w:cs="宋体"/>
                <w:b w:val="0"/>
                <w:i w:val="0"/>
                <w:color w:val="000000"/>
                <w:sz w:val="13"/>
              </w:rPr>
              <w:t xml:space="preserve">56.40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23.55</w:t>
            </w:r>
          </w:p>
        </w:tc>
        <w:tc>
          <w:tcPr>
            <w:tcW w:w="960" w:type="dxa"/>
            <w:tcBorders/>
            <w:vAlign w:val="center"/>
          </w:tcPr>
          <w:p>
            <w:pPr>
              <w:jc w:val="right"/>
            </w:pPr>
            <w:r>
              <w:rPr>
                <w:rFonts w:ascii="宋体" w:eastAsia="宋体" w:hAnsi="宋体" w:cs="宋体"/>
                <w:b w:val="0"/>
                <w:i w:val="0"/>
                <w:color w:val="000000"/>
                <w:sz w:val="13"/>
              </w:rPr>
              <w:t xml:space="preserve">23.55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23.32</w:t>
            </w:r>
          </w:p>
        </w:tc>
        <w:tc>
          <w:tcPr>
            <w:tcW w:w="960" w:type="dxa"/>
            <w:tcBorders/>
            <w:vAlign w:val="center"/>
          </w:tcPr>
          <w:p>
            <w:pPr>
              <w:jc w:val="right"/>
            </w:pPr>
            <w:r>
              <w:rPr>
                <w:rFonts w:ascii="宋体" w:eastAsia="宋体" w:hAnsi="宋体" w:cs="宋体"/>
                <w:b w:val="0"/>
                <w:i w:val="0"/>
                <w:color w:val="000000"/>
                <w:sz w:val="13"/>
              </w:rPr>
              <w:t xml:space="preserve">23.32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23.32</w:t>
            </w:r>
          </w:p>
        </w:tc>
        <w:tc>
          <w:tcPr>
            <w:tcW w:w="960" w:type="dxa"/>
            <w:tcBorders/>
            <w:vAlign w:val="center"/>
          </w:tcPr>
          <w:p>
            <w:pPr>
              <w:jc w:val="right"/>
            </w:pPr>
            <w:r>
              <w:rPr>
                <w:rFonts w:ascii="宋体" w:eastAsia="宋体" w:hAnsi="宋体" w:cs="宋体"/>
                <w:b w:val="0"/>
                <w:i w:val="0"/>
                <w:color w:val="000000"/>
                <w:sz w:val="13"/>
              </w:rPr>
              <w:t xml:space="preserve">23.32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23.32</w:t>
            </w:r>
          </w:p>
        </w:tc>
        <w:tc>
          <w:tcPr>
            <w:tcW w:w="960" w:type="dxa"/>
            <w:tcBorders/>
            <w:vAlign w:val="center"/>
          </w:tcPr>
          <w:p>
            <w:pPr>
              <w:jc w:val="right"/>
            </w:pPr>
            <w:r>
              <w:rPr>
                <w:rFonts w:ascii="宋体" w:eastAsia="宋体" w:hAnsi="宋体" w:cs="宋体"/>
                <w:b w:val="0"/>
                <w:i w:val="0"/>
                <w:color w:val="000000"/>
                <w:sz w:val="13"/>
              </w:rPr>
              <w:t xml:space="preserve">23.32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624.19</w:t>
            </w:r>
          </w:p>
        </w:tc>
        <w:tc>
          <w:tcPr>
            <w:tcW w:w="1060" w:type="dxa"/>
            <w:tcBorders/>
            <w:vAlign w:val="center"/>
          </w:tcPr>
          <w:p>
            <w:pPr>
              <w:jc w:val="right"/>
            </w:pPr>
            <w:r>
              <w:rPr>
                <w:rFonts w:ascii="宋体" w:eastAsia="宋体" w:hAnsi="宋体" w:cs="宋体"/>
                <w:b/>
                <w:i w:val="0"/>
                <w:color w:val="000000"/>
                <w:sz w:val="14"/>
              </w:rPr>
              <w:t xml:space="preserve">530.98</w:t>
            </w:r>
          </w:p>
        </w:tc>
        <w:tc>
          <w:tcPr>
            <w:tcW w:w="1060" w:type="dxa"/>
            <w:tcBorders/>
            <w:vAlign w:val="center"/>
          </w:tcPr>
          <w:p>
            <w:pPr>
              <w:jc w:val="right"/>
            </w:pPr>
            <w:r>
              <w:rPr>
                <w:rFonts w:ascii="宋体" w:eastAsia="宋体" w:hAnsi="宋体" w:cs="宋体"/>
                <w:b/>
                <w:i w:val="0"/>
                <w:color w:val="000000"/>
                <w:sz w:val="14"/>
              </w:rPr>
              <w:t xml:space="preserve">93.20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513.29</w:t>
            </w:r>
          </w:p>
        </w:tc>
        <w:tc>
          <w:tcPr>
            <w:tcW w:w="1060" w:type="dxa"/>
            <w:tcBorders/>
            <w:vAlign w:val="center"/>
          </w:tcPr>
          <w:p>
            <w:pPr>
              <w:jc w:val="right"/>
            </w:pPr>
            <w:r>
              <w:rPr>
                <w:rFonts w:ascii="宋体" w:eastAsia="宋体" w:hAnsi="宋体" w:cs="宋体"/>
                <w:b w:val="0"/>
                <w:i w:val="0"/>
                <w:color w:val="000000"/>
                <w:sz w:val="14"/>
              </w:rPr>
              <w:t xml:space="preserve">420.09</w:t>
            </w:r>
          </w:p>
        </w:tc>
        <w:tc>
          <w:tcPr>
            <w:tcW w:w="1060" w:type="dxa"/>
            <w:tcBorders/>
            <w:vAlign w:val="center"/>
          </w:tcPr>
          <w:p>
            <w:pPr>
              <w:jc w:val="right"/>
            </w:pPr>
            <w:r>
              <w:rPr>
                <w:rFonts w:ascii="宋体" w:eastAsia="宋体" w:hAnsi="宋体" w:cs="宋体"/>
                <w:b w:val="0"/>
                <w:i w:val="0"/>
                <w:color w:val="000000"/>
                <w:sz w:val="14"/>
              </w:rPr>
              <w:t xml:space="preserve">93.20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20501</w:t>
            </w:r>
          </w:p>
        </w:tc>
        <w:tc>
          <w:tcPr>
            <w:tcW w:w="3440" w:type="dxa"/>
            <w:tcBorders/>
            <w:vAlign w:val="center"/>
          </w:tcPr>
          <w:p>
            <w:pPr>
              <w:jc w:val="left"/>
            </w:pPr>
            <w:r>
              <w:rPr>
                <w:rFonts w:ascii="宋体" w:eastAsia="宋体" w:hAnsi="宋体" w:cs="宋体"/>
                <w:b w:val="0"/>
                <w:i w:val="0"/>
                <w:color w:val="000000"/>
                <w:sz w:val="14"/>
              </w:rPr>
              <w:t xml:space="preserve">教育管理事务</w:t>
            </w:r>
          </w:p>
        </w:tc>
        <w:tc>
          <w:tcPr>
            <w:tcW w:w="1060" w:type="dxa"/>
            <w:tcBorders/>
            <w:vAlign w:val="center"/>
          </w:tcPr>
          <w:p>
            <w:pPr>
              <w:jc w:val="right"/>
            </w:pPr>
            <w:r>
              <w:rPr>
                <w:rFonts w:ascii="宋体" w:eastAsia="宋体" w:hAnsi="宋体" w:cs="宋体"/>
                <w:b w:val="0"/>
                <w:i w:val="0"/>
                <w:color w:val="000000"/>
                <w:sz w:val="14"/>
              </w:rPr>
              <w:t xml:space="preserve">0.05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0.05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513.24</w:t>
            </w:r>
          </w:p>
        </w:tc>
        <w:tc>
          <w:tcPr>
            <w:tcW w:w="1060" w:type="dxa"/>
            <w:tcBorders/>
            <w:vAlign w:val="center"/>
          </w:tcPr>
          <w:p>
            <w:pPr>
              <w:jc w:val="right"/>
            </w:pPr>
            <w:r>
              <w:rPr>
                <w:rFonts w:ascii="宋体" w:eastAsia="宋体" w:hAnsi="宋体" w:cs="宋体"/>
                <w:b w:val="0"/>
                <w:i w:val="0"/>
                <w:color w:val="000000"/>
                <w:sz w:val="14"/>
              </w:rPr>
              <w:t xml:space="preserve">420.09</w:t>
            </w:r>
          </w:p>
        </w:tc>
        <w:tc>
          <w:tcPr>
            <w:tcW w:w="1060" w:type="dxa"/>
            <w:tcBorders/>
            <w:vAlign w:val="center"/>
          </w:tcPr>
          <w:p>
            <w:pPr>
              <w:jc w:val="right"/>
            </w:pPr>
            <w:r>
              <w:rPr>
                <w:rFonts w:ascii="宋体" w:eastAsia="宋体" w:hAnsi="宋体" w:cs="宋体"/>
                <w:b w:val="0"/>
                <w:i w:val="0"/>
                <w:color w:val="000000"/>
                <w:sz w:val="14"/>
              </w:rPr>
              <w:t xml:space="preserve">93.15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513.24</w:t>
            </w:r>
          </w:p>
        </w:tc>
        <w:tc>
          <w:tcPr>
            <w:tcW w:w="1060" w:type="dxa"/>
            <w:tcBorders/>
            <w:vAlign w:val="center"/>
          </w:tcPr>
          <w:p>
            <w:pPr>
              <w:jc w:val="right"/>
            </w:pPr>
            <w:r>
              <w:rPr>
                <w:rFonts w:ascii="宋体" w:eastAsia="宋体" w:hAnsi="宋体" w:cs="宋体"/>
                <w:b w:val="0"/>
                <w:i w:val="0"/>
                <w:color w:val="000000"/>
                <w:sz w:val="14"/>
              </w:rPr>
              <w:t xml:space="preserve">420.09</w:t>
            </w:r>
          </w:p>
        </w:tc>
        <w:tc>
          <w:tcPr>
            <w:tcW w:w="1060" w:type="dxa"/>
            <w:tcBorders/>
            <w:vAlign w:val="center"/>
          </w:tcPr>
          <w:p>
            <w:pPr>
              <w:jc w:val="right"/>
            </w:pPr>
            <w:r>
              <w:rPr>
                <w:rFonts w:ascii="宋体" w:eastAsia="宋体" w:hAnsi="宋体" w:cs="宋体"/>
                <w:b w:val="0"/>
                <w:i w:val="0"/>
                <w:color w:val="000000"/>
                <w:sz w:val="14"/>
              </w:rPr>
              <w:t xml:space="preserve">93.15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87.58</w:t>
            </w:r>
          </w:p>
        </w:tc>
        <w:tc>
          <w:tcPr>
            <w:tcW w:w="1060" w:type="dxa"/>
            <w:tcBorders/>
            <w:vAlign w:val="center"/>
          </w:tcPr>
          <w:p>
            <w:pPr>
              <w:jc w:val="right"/>
            </w:pPr>
            <w:r>
              <w:rPr>
                <w:rFonts w:ascii="宋体" w:eastAsia="宋体" w:hAnsi="宋体" w:cs="宋体"/>
                <w:b w:val="0"/>
                <w:i w:val="0"/>
                <w:color w:val="000000"/>
                <w:sz w:val="14"/>
              </w:rPr>
              <w:t xml:space="preserve">87.58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87.58</w:t>
            </w:r>
          </w:p>
        </w:tc>
        <w:tc>
          <w:tcPr>
            <w:tcW w:w="1060" w:type="dxa"/>
            <w:tcBorders/>
            <w:vAlign w:val="center"/>
          </w:tcPr>
          <w:p>
            <w:pPr>
              <w:jc w:val="right"/>
            </w:pPr>
            <w:r>
              <w:rPr>
                <w:rFonts w:ascii="宋体" w:eastAsia="宋体" w:hAnsi="宋体" w:cs="宋体"/>
                <w:b w:val="0"/>
                <w:i w:val="0"/>
                <w:color w:val="000000"/>
                <w:sz w:val="14"/>
              </w:rPr>
              <w:t xml:space="preserve">87.58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7.63</w:t>
            </w:r>
          </w:p>
        </w:tc>
        <w:tc>
          <w:tcPr>
            <w:tcW w:w="1060" w:type="dxa"/>
            <w:tcBorders/>
            <w:vAlign w:val="center"/>
          </w:tcPr>
          <w:p>
            <w:pPr>
              <w:jc w:val="right"/>
            </w:pPr>
            <w:r>
              <w:rPr>
                <w:rFonts w:ascii="宋体" w:eastAsia="宋体" w:hAnsi="宋体" w:cs="宋体"/>
                <w:b w:val="0"/>
                <w:i w:val="0"/>
                <w:color w:val="000000"/>
                <w:sz w:val="14"/>
              </w:rPr>
              <w:t xml:space="preserve">7.63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56.40</w:t>
            </w:r>
          </w:p>
        </w:tc>
        <w:tc>
          <w:tcPr>
            <w:tcW w:w="1060" w:type="dxa"/>
            <w:tcBorders/>
            <w:vAlign w:val="center"/>
          </w:tcPr>
          <w:p>
            <w:pPr>
              <w:jc w:val="right"/>
            </w:pPr>
            <w:r>
              <w:rPr>
                <w:rFonts w:ascii="宋体" w:eastAsia="宋体" w:hAnsi="宋体" w:cs="宋体"/>
                <w:b w:val="0"/>
                <w:i w:val="0"/>
                <w:color w:val="000000"/>
                <w:sz w:val="14"/>
              </w:rPr>
              <w:t xml:space="preserve">56.40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23.55</w:t>
            </w:r>
          </w:p>
        </w:tc>
        <w:tc>
          <w:tcPr>
            <w:tcW w:w="1060" w:type="dxa"/>
            <w:tcBorders/>
            <w:vAlign w:val="center"/>
          </w:tcPr>
          <w:p>
            <w:pPr>
              <w:jc w:val="right"/>
            </w:pPr>
            <w:r>
              <w:rPr>
                <w:rFonts w:ascii="宋体" w:eastAsia="宋体" w:hAnsi="宋体" w:cs="宋体"/>
                <w:b w:val="0"/>
                <w:i w:val="0"/>
                <w:color w:val="000000"/>
                <w:sz w:val="14"/>
              </w:rPr>
              <w:t xml:space="preserve">23.55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23.32</w:t>
            </w:r>
          </w:p>
        </w:tc>
        <w:tc>
          <w:tcPr>
            <w:tcW w:w="1060" w:type="dxa"/>
            <w:tcBorders/>
            <w:vAlign w:val="center"/>
          </w:tcPr>
          <w:p>
            <w:pPr>
              <w:jc w:val="right"/>
            </w:pPr>
            <w:r>
              <w:rPr>
                <w:rFonts w:ascii="宋体" w:eastAsia="宋体" w:hAnsi="宋体" w:cs="宋体"/>
                <w:b w:val="0"/>
                <w:i w:val="0"/>
                <w:color w:val="000000"/>
                <w:sz w:val="14"/>
              </w:rPr>
              <w:t xml:space="preserve">23.32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23.32</w:t>
            </w:r>
          </w:p>
        </w:tc>
        <w:tc>
          <w:tcPr>
            <w:tcW w:w="1060" w:type="dxa"/>
            <w:tcBorders/>
            <w:vAlign w:val="center"/>
          </w:tcPr>
          <w:p>
            <w:pPr>
              <w:jc w:val="right"/>
            </w:pPr>
            <w:r>
              <w:rPr>
                <w:rFonts w:ascii="宋体" w:eastAsia="宋体" w:hAnsi="宋体" w:cs="宋体"/>
                <w:b w:val="0"/>
                <w:i w:val="0"/>
                <w:color w:val="000000"/>
                <w:sz w:val="14"/>
              </w:rPr>
              <w:t xml:space="preserve">23.32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23.32</w:t>
            </w:r>
          </w:p>
        </w:tc>
        <w:tc>
          <w:tcPr>
            <w:tcW w:w="1060" w:type="dxa"/>
            <w:tcBorders/>
            <w:vAlign w:val="center"/>
          </w:tcPr>
          <w:p>
            <w:pPr>
              <w:jc w:val="right"/>
            </w:pPr>
            <w:r>
              <w:rPr>
                <w:rFonts w:ascii="宋体" w:eastAsia="宋体" w:hAnsi="宋体" w:cs="宋体"/>
                <w:b w:val="0"/>
                <w:i w:val="0"/>
                <w:color w:val="000000"/>
                <w:sz w:val="14"/>
              </w:rPr>
              <w:t xml:space="preserve">23.32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624.14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513.24</w:t>
            </w:r>
          </w:p>
        </w:tc>
        <w:tc>
          <w:tcPr>
            <w:tcW w:w="1100" w:type="dxa"/>
            <w:tcBorders/>
            <w:vAlign w:val="center"/>
          </w:tcPr>
          <w:p>
            <w:pPr>
              <w:jc w:val="right"/>
            </w:pPr>
            <w:r>
              <w:rPr>
                <w:rFonts w:ascii="宋体" w:eastAsia="宋体" w:hAnsi="宋体" w:cs="宋体"/>
                <w:b w:val="0"/>
                <w:i w:val="0"/>
                <w:color w:val="000000"/>
                <w:sz w:val="14"/>
              </w:rPr>
              <w:t xml:space="preserve">513.24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87.58</w:t>
            </w:r>
          </w:p>
        </w:tc>
        <w:tc>
          <w:tcPr>
            <w:tcW w:w="1100" w:type="dxa"/>
            <w:tcBorders/>
            <w:vAlign w:val="center"/>
          </w:tcPr>
          <w:p>
            <w:pPr>
              <w:jc w:val="right"/>
            </w:pPr>
            <w:r>
              <w:rPr>
                <w:rFonts w:ascii="宋体" w:eastAsia="宋体" w:hAnsi="宋体" w:cs="宋体"/>
                <w:b w:val="0"/>
                <w:i w:val="0"/>
                <w:color w:val="000000"/>
                <w:sz w:val="14"/>
              </w:rPr>
              <w:t xml:space="preserve">87.58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23.32</w:t>
            </w:r>
          </w:p>
        </w:tc>
        <w:tc>
          <w:tcPr>
            <w:tcW w:w="1100" w:type="dxa"/>
            <w:tcBorders/>
            <w:vAlign w:val="center"/>
          </w:tcPr>
          <w:p>
            <w:pPr>
              <w:jc w:val="right"/>
            </w:pPr>
            <w:r>
              <w:rPr>
                <w:rFonts w:ascii="宋体" w:eastAsia="宋体" w:hAnsi="宋体" w:cs="宋体"/>
                <w:b w:val="0"/>
                <w:i w:val="0"/>
                <w:color w:val="000000"/>
                <w:sz w:val="14"/>
              </w:rPr>
              <w:t xml:space="preserve">23.32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624.14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624.14</w:t>
            </w:r>
          </w:p>
        </w:tc>
        <w:tc>
          <w:tcPr>
            <w:tcW w:w="1100" w:type="dxa"/>
            <w:tcBorders/>
            <w:vAlign w:val="center"/>
          </w:tcPr>
          <w:p>
            <w:pPr>
              <w:jc w:val="right"/>
            </w:pPr>
            <w:r>
              <w:rPr>
                <w:rFonts w:ascii="宋体" w:eastAsia="宋体" w:hAnsi="宋体" w:cs="宋体"/>
                <w:b w:val="0"/>
                <w:i w:val="0"/>
                <w:color w:val="000000"/>
                <w:sz w:val="14"/>
              </w:rPr>
              <w:t xml:space="preserve">624.14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624.14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624.14</w:t>
            </w:r>
          </w:p>
        </w:tc>
        <w:tc>
          <w:tcPr>
            <w:tcW w:w="1100" w:type="dxa"/>
            <w:tcBorders/>
            <w:vAlign w:val="center"/>
          </w:tcPr>
          <w:p>
            <w:pPr>
              <w:jc w:val="right"/>
            </w:pPr>
            <w:r>
              <w:rPr>
                <w:rFonts w:ascii="宋体" w:eastAsia="宋体" w:hAnsi="宋体" w:cs="宋体"/>
                <w:b w:val="0"/>
                <w:i w:val="0"/>
                <w:color w:val="000000"/>
                <w:sz w:val="14"/>
              </w:rPr>
              <w:t xml:space="preserve">624.14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624.14</w:t>
            </w:r>
          </w:p>
        </w:tc>
        <w:tc>
          <w:tcPr>
            <w:tcW w:w="1780" w:type="dxa"/>
            <w:tcBorders/>
            <w:vAlign w:val="center"/>
          </w:tcPr>
          <w:p>
            <w:pPr>
              <w:jc w:val="right"/>
            </w:pPr>
            <w:r>
              <w:rPr>
                <w:rFonts w:ascii="宋体" w:eastAsia="宋体" w:hAnsi="宋体" w:cs="宋体"/>
                <w:b/>
                <w:i w:val="0"/>
                <w:color w:val="000000"/>
                <w:sz w:val="18"/>
              </w:rPr>
              <w:t xml:space="preserve">530.98</w:t>
            </w:r>
          </w:p>
        </w:tc>
        <w:tc>
          <w:tcPr>
            <w:tcW w:w="1772" w:type="dxa"/>
            <w:tcBorders/>
            <w:vAlign w:val="center"/>
          </w:tcPr>
          <w:p>
            <w:pPr>
              <w:jc w:val="right"/>
            </w:pPr>
            <w:r>
              <w:rPr>
                <w:rFonts w:ascii="宋体" w:eastAsia="宋体" w:hAnsi="宋体" w:cs="宋体"/>
                <w:b/>
                <w:i w:val="0"/>
                <w:color w:val="000000"/>
                <w:sz w:val="18"/>
              </w:rPr>
              <w:t xml:space="preserve">93.15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513.24</w:t>
            </w:r>
          </w:p>
        </w:tc>
        <w:tc>
          <w:tcPr>
            <w:tcW w:w="1780" w:type="dxa"/>
            <w:tcBorders/>
            <w:vAlign w:val="center"/>
          </w:tcPr>
          <w:p>
            <w:pPr>
              <w:jc w:val="right"/>
            </w:pPr>
            <w:r>
              <w:rPr>
                <w:rFonts w:ascii="宋体" w:eastAsia="宋体" w:hAnsi="宋体" w:cs="宋体"/>
                <w:b w:val="0"/>
                <w:i w:val="0"/>
                <w:color w:val="000000"/>
                <w:sz w:val="18"/>
              </w:rPr>
              <w:t xml:space="preserve">420.09</w:t>
            </w:r>
          </w:p>
        </w:tc>
        <w:tc>
          <w:tcPr>
            <w:tcW w:w="1772" w:type="dxa"/>
            <w:tcBorders/>
            <w:vAlign w:val="center"/>
          </w:tcPr>
          <w:p>
            <w:pPr>
              <w:jc w:val="right"/>
            </w:pPr>
            <w:r>
              <w:rPr>
                <w:rFonts w:ascii="宋体" w:eastAsia="宋体" w:hAnsi="宋体" w:cs="宋体"/>
                <w:b w:val="0"/>
                <w:i w:val="0"/>
                <w:color w:val="000000"/>
                <w:sz w:val="18"/>
              </w:rPr>
              <w:t xml:space="preserve">93.15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513.24</w:t>
            </w:r>
          </w:p>
        </w:tc>
        <w:tc>
          <w:tcPr>
            <w:tcW w:w="1780" w:type="dxa"/>
            <w:tcBorders/>
            <w:vAlign w:val="center"/>
          </w:tcPr>
          <w:p>
            <w:pPr>
              <w:jc w:val="right"/>
            </w:pPr>
            <w:r>
              <w:rPr>
                <w:rFonts w:ascii="宋体" w:eastAsia="宋体" w:hAnsi="宋体" w:cs="宋体"/>
                <w:b w:val="0"/>
                <w:i w:val="0"/>
                <w:color w:val="000000"/>
                <w:sz w:val="18"/>
              </w:rPr>
              <w:t xml:space="preserve">420.09</w:t>
            </w:r>
          </w:p>
        </w:tc>
        <w:tc>
          <w:tcPr>
            <w:tcW w:w="1772" w:type="dxa"/>
            <w:tcBorders/>
            <w:vAlign w:val="center"/>
          </w:tcPr>
          <w:p>
            <w:pPr>
              <w:jc w:val="right"/>
            </w:pPr>
            <w:r>
              <w:rPr>
                <w:rFonts w:ascii="宋体" w:eastAsia="宋体" w:hAnsi="宋体" w:cs="宋体"/>
                <w:b w:val="0"/>
                <w:i w:val="0"/>
                <w:color w:val="000000"/>
                <w:sz w:val="18"/>
              </w:rPr>
              <w:t xml:space="preserve">93.15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2050299</w:t>
            </w:r>
          </w:p>
        </w:tc>
        <w:tc>
          <w:tcPr>
            <w:tcW w:w="4300" w:type="dxa"/>
            <w:tcBorders/>
            <w:vAlign w:val="center"/>
          </w:tcPr>
          <w:p>
            <w:pPr>
              <w:jc w:val="left"/>
            </w:pPr>
            <w:r>
              <w:rPr>
                <w:rFonts w:ascii="宋体" w:eastAsia="宋体" w:hAnsi="宋体" w:cs="宋体"/>
                <w:b w:val="0"/>
                <w:i w:val="0"/>
                <w:color w:val="000000"/>
                <w:sz w:val="18"/>
              </w:rPr>
              <w:t xml:space="preserve">其他普通教育支出</w:t>
            </w:r>
          </w:p>
        </w:tc>
        <w:tc>
          <w:tcPr>
            <w:tcW w:w="1780" w:type="dxa"/>
            <w:tcBorders/>
            <w:vAlign w:val="center"/>
          </w:tcPr>
          <w:p>
            <w:pPr>
              <w:jc w:val="right"/>
            </w:pPr>
            <w:r>
              <w:rPr>
                <w:rFonts w:ascii="宋体" w:eastAsia="宋体" w:hAnsi="宋体" w:cs="宋体"/>
                <w:b w:val="0"/>
                <w:i w:val="0"/>
                <w:color w:val="000000"/>
                <w:sz w:val="18"/>
              </w:rPr>
              <w:t xml:space="preserve">513.24</w:t>
            </w:r>
          </w:p>
        </w:tc>
        <w:tc>
          <w:tcPr>
            <w:tcW w:w="1780" w:type="dxa"/>
            <w:tcBorders/>
            <w:vAlign w:val="center"/>
          </w:tcPr>
          <w:p>
            <w:pPr>
              <w:jc w:val="right"/>
            </w:pPr>
            <w:r>
              <w:rPr>
                <w:rFonts w:ascii="宋体" w:eastAsia="宋体" w:hAnsi="宋体" w:cs="宋体"/>
                <w:b w:val="0"/>
                <w:i w:val="0"/>
                <w:color w:val="000000"/>
                <w:sz w:val="18"/>
              </w:rPr>
              <w:t xml:space="preserve">420.09</w:t>
            </w:r>
          </w:p>
        </w:tc>
        <w:tc>
          <w:tcPr>
            <w:tcW w:w="1772" w:type="dxa"/>
            <w:tcBorders/>
            <w:vAlign w:val="center"/>
          </w:tcPr>
          <w:p>
            <w:pPr>
              <w:jc w:val="right"/>
            </w:pPr>
            <w:r>
              <w:rPr>
                <w:rFonts w:ascii="宋体" w:eastAsia="宋体" w:hAnsi="宋体" w:cs="宋体"/>
                <w:b w:val="0"/>
                <w:i w:val="0"/>
                <w:color w:val="000000"/>
                <w:sz w:val="18"/>
              </w:rPr>
              <w:t xml:space="preserve">93.15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87.58</w:t>
            </w:r>
          </w:p>
        </w:tc>
        <w:tc>
          <w:tcPr>
            <w:tcW w:w="1780" w:type="dxa"/>
            <w:tcBorders/>
            <w:vAlign w:val="center"/>
          </w:tcPr>
          <w:p>
            <w:pPr>
              <w:jc w:val="right"/>
            </w:pPr>
            <w:r>
              <w:rPr>
                <w:rFonts w:ascii="宋体" w:eastAsia="宋体" w:hAnsi="宋体" w:cs="宋体"/>
                <w:b w:val="0"/>
                <w:i w:val="0"/>
                <w:color w:val="000000"/>
                <w:sz w:val="18"/>
              </w:rPr>
              <w:t xml:space="preserve">87.58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87.58</w:t>
            </w:r>
          </w:p>
        </w:tc>
        <w:tc>
          <w:tcPr>
            <w:tcW w:w="1780" w:type="dxa"/>
            <w:tcBorders/>
            <w:vAlign w:val="center"/>
          </w:tcPr>
          <w:p>
            <w:pPr>
              <w:jc w:val="right"/>
            </w:pPr>
            <w:r>
              <w:rPr>
                <w:rFonts w:ascii="宋体" w:eastAsia="宋体" w:hAnsi="宋体" w:cs="宋体"/>
                <w:b w:val="0"/>
                <w:i w:val="0"/>
                <w:color w:val="000000"/>
                <w:sz w:val="18"/>
              </w:rPr>
              <w:t xml:space="preserve">87.58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7.63</w:t>
            </w:r>
          </w:p>
        </w:tc>
        <w:tc>
          <w:tcPr>
            <w:tcW w:w="1780" w:type="dxa"/>
            <w:tcBorders/>
            <w:vAlign w:val="center"/>
          </w:tcPr>
          <w:p>
            <w:pPr>
              <w:jc w:val="right"/>
            </w:pPr>
            <w:r>
              <w:rPr>
                <w:rFonts w:ascii="宋体" w:eastAsia="宋体" w:hAnsi="宋体" w:cs="宋体"/>
                <w:b w:val="0"/>
                <w:i w:val="0"/>
                <w:color w:val="000000"/>
                <w:sz w:val="18"/>
              </w:rPr>
              <w:t xml:space="preserve">7.63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56.40</w:t>
            </w:r>
          </w:p>
        </w:tc>
        <w:tc>
          <w:tcPr>
            <w:tcW w:w="1780" w:type="dxa"/>
            <w:tcBorders/>
            <w:vAlign w:val="center"/>
          </w:tcPr>
          <w:p>
            <w:pPr>
              <w:jc w:val="right"/>
            </w:pPr>
            <w:r>
              <w:rPr>
                <w:rFonts w:ascii="宋体" w:eastAsia="宋体" w:hAnsi="宋体" w:cs="宋体"/>
                <w:b w:val="0"/>
                <w:i w:val="0"/>
                <w:color w:val="000000"/>
                <w:sz w:val="18"/>
              </w:rPr>
              <w:t xml:space="preserve">56.40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23.55</w:t>
            </w:r>
          </w:p>
        </w:tc>
        <w:tc>
          <w:tcPr>
            <w:tcW w:w="1780" w:type="dxa"/>
            <w:tcBorders/>
            <w:vAlign w:val="center"/>
          </w:tcPr>
          <w:p>
            <w:pPr>
              <w:jc w:val="right"/>
            </w:pPr>
            <w:r>
              <w:rPr>
                <w:rFonts w:ascii="宋体" w:eastAsia="宋体" w:hAnsi="宋体" w:cs="宋体"/>
                <w:b w:val="0"/>
                <w:i w:val="0"/>
                <w:color w:val="000000"/>
                <w:sz w:val="18"/>
              </w:rPr>
              <w:t xml:space="preserve">23.55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23.32</w:t>
            </w:r>
          </w:p>
        </w:tc>
        <w:tc>
          <w:tcPr>
            <w:tcW w:w="1780" w:type="dxa"/>
            <w:tcBorders/>
            <w:vAlign w:val="center"/>
          </w:tcPr>
          <w:p>
            <w:pPr>
              <w:jc w:val="right"/>
            </w:pPr>
            <w:r>
              <w:rPr>
                <w:rFonts w:ascii="宋体" w:eastAsia="宋体" w:hAnsi="宋体" w:cs="宋体"/>
                <w:b w:val="0"/>
                <w:i w:val="0"/>
                <w:color w:val="000000"/>
                <w:sz w:val="18"/>
              </w:rPr>
              <w:t xml:space="preserve">23.32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23.32</w:t>
            </w:r>
          </w:p>
        </w:tc>
        <w:tc>
          <w:tcPr>
            <w:tcW w:w="1780" w:type="dxa"/>
            <w:tcBorders/>
            <w:vAlign w:val="center"/>
          </w:tcPr>
          <w:p>
            <w:pPr>
              <w:jc w:val="right"/>
            </w:pPr>
            <w:r>
              <w:rPr>
                <w:rFonts w:ascii="宋体" w:eastAsia="宋体" w:hAnsi="宋体" w:cs="宋体"/>
                <w:b w:val="0"/>
                <w:i w:val="0"/>
                <w:color w:val="000000"/>
                <w:sz w:val="18"/>
              </w:rPr>
              <w:t xml:space="preserve">23.32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23.32</w:t>
            </w:r>
          </w:p>
        </w:tc>
        <w:tc>
          <w:tcPr>
            <w:tcW w:w="1780" w:type="dxa"/>
            <w:tcBorders/>
            <w:vAlign w:val="center"/>
          </w:tcPr>
          <w:p>
            <w:pPr>
              <w:jc w:val="right"/>
            </w:pPr>
            <w:r>
              <w:rPr>
                <w:rFonts w:ascii="宋体" w:eastAsia="宋体" w:hAnsi="宋体" w:cs="宋体"/>
                <w:b w:val="0"/>
                <w:i w:val="0"/>
                <w:color w:val="000000"/>
                <w:sz w:val="18"/>
              </w:rPr>
              <w:t xml:space="preserve">23.32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504.58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18.78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171.34</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4.38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57.82</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15.16</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12.31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142.02</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56.40</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23.55</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8.49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23.32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2.65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1.17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7.63</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0.63</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7.63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0.96</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3.15</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512.21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18.78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单位：辽宁省沈阳市浑南区教育事务服务中心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023052沈阳市浑南区教育事务服务中心-210112000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641.3</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641.3</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439.75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439.75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72.45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72.45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完成当年任务，保障正常运转。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按照财政下达部门预算资金，目标全部完成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舆论导向正确</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公众安全意识提升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参加培训人员的满意度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办公用房取暖相关费用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保障正常运行秩序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按照财政下达部门预算资金依规支出，坚持控制运行成本，提高财政资金的规范性和合有效性。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办公用房等基础设施维修改造建筑面积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平方米</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残疾人就业保障金经费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保障单位预算下达资金正常运转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按照财政下达部门预算资金依规合理使用。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非本级预算单位人员类支出</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22.49%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确保单位支出运转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按照财政预算下达资金部分完成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8.12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8.12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保证办公楼正常运行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33.24924433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各类教育培训费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保障工作正常有序开展。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按照财政下达部门预算资金依规合理支出，提高资金使用的规范性和有效性。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授课任务完成率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参训人员合格率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教师1500元/人/月，全系统在编教师3149名*12*1500=5668.2万元，区合同制教师629名*12*1500=1132.2万元（区聘教师经费中编报），一次性2000万全年绩效工资8800.4万元；2.正校级3000元/人/月，全系统120名正校级干部,120人*12*3000=432万元。3.计划新招聘教师400名，400人*1500元*4个月=240万；在职教师绩效工资全年预算8340.2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按照财政下达部门预算资金依规合理使用。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参训学员教育教学能力提升情况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职业教育毕业生用人单位满意度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按照财政下达的部门预算资金执行合理的支出，提高财政资金使用的规范性、有效性。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外聘劳务经费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47.78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保障正常工作秩序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按照财政下达部门预算资金合理使用。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32.46718292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卫生、保健检查检测费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保障工作正常有序开展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按照财政下达部门预算资金依规合理支出，提高资金使用规范性和有效性。</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物业管理费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55.36%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按照财政下达部门预算资金合理使用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组织外聘教师物业人员招聘数量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物业服务被投诉率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26.53603333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职工住房货币化补贴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此项补贴可以保障教师队伍稳定同时保证学校的教育教学正常开展。保证教师待遇的同时也提高了员工的生活水平。促进浑南教育的高速发展。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按照财政下达部门预算资金完成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