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辽宁省沈阳市浑南区招生考试委员会办公室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辽宁省沈阳市浑南区招生考试委员会办公室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辽宁省沈阳市浑南区招生考试委员会办公室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辽宁省沈阳市浑南区招生考试委员会办公室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辽宁省沈阳市浑南区招生考试委员会办公室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辽宁省沈阳市浑南区招生考试委员会办公室概况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(一)贯彻执行国家、省、市教育招生考试有关方针、政策和法律、法规、规章;承担国家、省、市、区各类考试的组织实施和服务保障等工作。</w:t>
        <w:br/>
        <w:t xml:space="preserve">    (二)承担全国普通高等学校招生考试、辽宁省中职升高职招生考试的组织实施工作。</w:t>
        <w:br/>
        <w:t xml:space="preserve">    (三)承担全国硕士学位研究生招生考试的组织实施工作。</w:t>
        <w:br/>
        <w:t xml:space="preserve">    (四)承担全国中等学校、普通高中招生考试的组织实施工作、沈阳市各类中等学校招生考试工作。</w:t>
        <w:br/>
        <w:t xml:space="preserve">    (五)承担全国高等教育自学考试的组织实施工作。</w:t>
        <w:br/>
        <w:t xml:space="preserve">    (六)承担成人高校招生考试的组织实施工作。</w:t>
        <w:br/>
        <w:t xml:space="preserve">    (七)承办上级部门下达的社会化考试任务。</w:t>
        <w:br/>
        <w:t xml:space="preserve">    (八)指导毕业生学校、各报考点等相关工作。</w:t>
        <w:br/>
        <w:t xml:space="preserve">    (九)承担浑南区招生考试委员会相关工作。</w:t>
        <w:br/>
        <w:t xml:space="preserve">    (十)完成区委、区政府及区教育局交办的其他任务。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辽宁省沈阳市浑南区招生考试委员会办公室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本单位是纳入浑南区教育局管理的二级预算单位。</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256.66</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119.05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46.38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119.05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83.79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32.65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主要是上级拨付的考试经费等收入。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53.82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20.97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主要是上级专项经费等收入。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增加47.95万元，增长22.98%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单位人数增加；建设标准化考点；上级专项拨款增多</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256.66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102.66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工资福利支出93.32万元；商品和服务支出6.31万元；对个人和家庭的补助3.03万元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154.00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主要包括考务费和考试设备维护等业务支出。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增加47.95万元，增长22.98%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单位人数增加；建设标准化考点；上级专项拨款增多</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119.05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102.66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16.39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增加7.05万元，增长6.30%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人员增多</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17.86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74.92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3.10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2024年度一般公共预算财政拨款支出119.05万元。按支出功能分类科目分，包括：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1.教育支出101.72万元，具体包括：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（1）教育支出（类）普通教育（款）其他普通教育支出（项）100.76万元,主要是人员工资和考试考务费等支出，完成年初预算的15.75%，决算数与年初预算数存在差异的主要原因是部分考试未拨款。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（2）教育支出（类）教育费附加安排的支出（款）其他教育费附加安排的支出（项）0.96万元,主要是专项设备购置等支出，完成年初预算的100%，决算数与年初预算数存在差异的主要原因是解决投诉欠款。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2.社会保障和就业支出13.01万元，具体包括：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3.03万元,主要是离退休福利及离退休工资和职工养老保险和职业年金缴费等支出，完成年初预算的89.38%，决算数与年初预算数存在差异的主要原因是人员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9.98万元,主要是离退休福利及离退休工资和职工养老保险和职业年金缴费等支出，完成年初预算的86.71%，决算数与年初预算数存在差异的主要原因是人员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（1）卫生健康支出（类）行政事业单位医疗（款）事业单位医疗（项）4.32万元,主要是职工和退离休职工医疗保险费用等支出，完成年初预算的77.84%，决算数与年初预算数存在差异的主要原因是人员经费减少。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102.66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96.35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6.31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590.96万元。其中，一般公共预算资金590.96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1个；得分在60分以下，等级为差的项目有4个。各项目自评发现，部分项目预算执行进度偏慢，个别效益指标未能完全达成等问题，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在全面自评的基础上，本部门选取了1个资金量大、社会关注度高、具有代表性的重点项目实施了部门重点评价。评价工作通过组建评价小组的方式进行，确保了评价结果的客观性和公正性。</w:t>
        <w:br/>
        <w:t xml:space="preserve">    我部门组织对1个项目重点评价，结果显示，被评价项目整体绩效情况一般。其中：考试、考务经费项目涉及资金417.19万元，评分为59分，评级情况为差。同时也发现该项目存在绩效指标设置不够细化、资金使用效益有待进一步提升等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间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119.05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83.79</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239.33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53.82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13.01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4.32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256.66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256.66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256.66</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256.66</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256.66</w:t>
            </w:r>
          </w:p>
        </w:tc>
        <w:tc>
          <w:tcPr>
            <w:tcW w:w="960" w:type="dxa"/>
            <w:tcBorders/>
            <w:vAlign w:val="center"/>
          </w:tcPr>
          <w:p>
            <w:pPr>
              <w:jc w:val="right"/>
            </w:pPr>
            <w:r>
              <w:rPr>
                <w:rFonts w:ascii="宋体" w:eastAsia="宋体" w:hAnsi="宋体" w:cs="宋体"/>
                <w:b/>
                <w:i w:val="0"/>
                <w:color w:val="000000"/>
                <w:sz w:val="13"/>
              </w:rPr>
              <w:t xml:space="preserve">119.05</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83.79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53.82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239.33</w:t>
            </w:r>
          </w:p>
        </w:tc>
        <w:tc>
          <w:tcPr>
            <w:tcW w:w="960" w:type="dxa"/>
            <w:tcBorders/>
            <w:vAlign w:val="center"/>
          </w:tcPr>
          <w:p>
            <w:pPr>
              <w:jc w:val="right"/>
            </w:pPr>
            <w:r>
              <w:rPr>
                <w:rFonts w:ascii="宋体" w:eastAsia="宋体" w:hAnsi="宋体" w:cs="宋体"/>
                <w:b w:val="0"/>
                <w:i w:val="0"/>
                <w:color w:val="000000"/>
                <w:sz w:val="13"/>
              </w:rPr>
              <w:t xml:space="preserve">101.72</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83.79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53.82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238.37</w:t>
            </w:r>
          </w:p>
        </w:tc>
        <w:tc>
          <w:tcPr>
            <w:tcW w:w="960" w:type="dxa"/>
            <w:tcBorders/>
            <w:vAlign w:val="center"/>
          </w:tcPr>
          <w:p>
            <w:pPr>
              <w:jc w:val="right"/>
            </w:pPr>
            <w:r>
              <w:rPr>
                <w:rFonts w:ascii="宋体" w:eastAsia="宋体" w:hAnsi="宋体" w:cs="宋体"/>
                <w:b w:val="0"/>
                <w:i w:val="0"/>
                <w:color w:val="000000"/>
                <w:sz w:val="13"/>
              </w:rPr>
              <w:t xml:space="preserve">100.76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83.79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53.82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238.37</w:t>
            </w:r>
          </w:p>
        </w:tc>
        <w:tc>
          <w:tcPr>
            <w:tcW w:w="960" w:type="dxa"/>
            <w:tcBorders/>
            <w:vAlign w:val="center"/>
          </w:tcPr>
          <w:p>
            <w:pPr>
              <w:jc w:val="right"/>
            </w:pPr>
            <w:r>
              <w:rPr>
                <w:rFonts w:ascii="宋体" w:eastAsia="宋体" w:hAnsi="宋体" w:cs="宋体"/>
                <w:b w:val="0"/>
                <w:i w:val="0"/>
                <w:color w:val="000000"/>
                <w:sz w:val="13"/>
              </w:rPr>
              <w:t xml:space="preserve">100.76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83.79</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53.82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jc w:val="right"/>
            </w:pPr>
            <w:r>
              <w:rPr>
                <w:rFonts w:ascii="宋体" w:eastAsia="宋体" w:hAnsi="宋体" w:cs="宋体"/>
                <w:b w:val="0"/>
                <w:i w:val="0"/>
                <w:color w:val="000000"/>
                <w:sz w:val="13"/>
              </w:rPr>
              <w:t xml:space="preserve">0.96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13.01</w:t>
            </w:r>
          </w:p>
        </w:tc>
        <w:tc>
          <w:tcPr>
            <w:tcW w:w="960" w:type="dxa"/>
            <w:tcBorders/>
            <w:vAlign w:val="center"/>
          </w:tcPr>
          <w:p>
            <w:pPr>
              <w:jc w:val="right"/>
            </w:pPr>
            <w:r>
              <w:rPr>
                <w:rFonts w:ascii="宋体" w:eastAsia="宋体" w:hAnsi="宋体" w:cs="宋体"/>
                <w:b w:val="0"/>
                <w:i w:val="0"/>
                <w:color w:val="000000"/>
                <w:sz w:val="13"/>
              </w:rPr>
              <w:t xml:space="preserve">13.01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13.01</w:t>
            </w:r>
          </w:p>
        </w:tc>
        <w:tc>
          <w:tcPr>
            <w:tcW w:w="960" w:type="dxa"/>
            <w:tcBorders/>
            <w:vAlign w:val="center"/>
          </w:tcPr>
          <w:p>
            <w:pPr>
              <w:jc w:val="right"/>
            </w:pPr>
            <w:r>
              <w:rPr>
                <w:rFonts w:ascii="宋体" w:eastAsia="宋体" w:hAnsi="宋体" w:cs="宋体"/>
                <w:b w:val="0"/>
                <w:i w:val="0"/>
                <w:color w:val="000000"/>
                <w:sz w:val="13"/>
              </w:rPr>
              <w:t xml:space="preserve">13.01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3.03</w:t>
            </w:r>
          </w:p>
        </w:tc>
        <w:tc>
          <w:tcPr>
            <w:tcW w:w="960" w:type="dxa"/>
            <w:tcBorders/>
            <w:vAlign w:val="center"/>
          </w:tcPr>
          <w:p>
            <w:pPr>
              <w:jc w:val="right"/>
            </w:pPr>
            <w:r>
              <w:rPr>
                <w:rFonts w:ascii="宋体" w:eastAsia="宋体" w:hAnsi="宋体" w:cs="宋体"/>
                <w:b w:val="0"/>
                <w:i w:val="0"/>
                <w:color w:val="000000"/>
                <w:sz w:val="13"/>
              </w:rPr>
              <w:t xml:space="preserve">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9.98</w:t>
            </w:r>
          </w:p>
        </w:tc>
        <w:tc>
          <w:tcPr>
            <w:tcW w:w="960" w:type="dxa"/>
            <w:tcBorders/>
            <w:vAlign w:val="center"/>
          </w:tcPr>
          <w:p>
            <w:pPr>
              <w:jc w:val="right"/>
            </w:pPr>
            <w:r>
              <w:rPr>
                <w:rFonts w:ascii="宋体" w:eastAsia="宋体" w:hAnsi="宋体" w:cs="宋体"/>
                <w:b w:val="0"/>
                <w:i w:val="0"/>
                <w:color w:val="000000"/>
                <w:sz w:val="13"/>
              </w:rPr>
              <w:t xml:space="preserve">9.98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jc w:val="right"/>
            </w:pPr>
            <w:r>
              <w:rPr>
                <w:rFonts w:ascii="宋体" w:eastAsia="宋体" w:hAnsi="宋体" w:cs="宋体"/>
                <w:b w:val="0"/>
                <w:i w:val="0"/>
                <w:color w:val="000000"/>
                <w:sz w:val="13"/>
              </w:rPr>
              <w:t xml:space="preserve">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256.66</w:t>
            </w:r>
          </w:p>
        </w:tc>
        <w:tc>
          <w:tcPr>
            <w:tcW w:w="1060" w:type="dxa"/>
            <w:tcBorders/>
            <w:vAlign w:val="center"/>
          </w:tcPr>
          <w:p>
            <w:pPr>
              <w:jc w:val="right"/>
            </w:pPr>
            <w:r>
              <w:rPr>
                <w:rFonts w:ascii="宋体" w:eastAsia="宋体" w:hAnsi="宋体" w:cs="宋体"/>
                <w:b/>
                <w:i w:val="0"/>
                <w:color w:val="000000"/>
                <w:sz w:val="14"/>
              </w:rPr>
              <w:t xml:space="preserve">102.66</w:t>
            </w:r>
          </w:p>
        </w:tc>
        <w:tc>
          <w:tcPr>
            <w:tcW w:w="1060" w:type="dxa"/>
            <w:tcBorders/>
            <w:vAlign w:val="center"/>
          </w:tcPr>
          <w:p>
            <w:pPr>
              <w:jc w:val="right"/>
            </w:pPr>
            <w:r>
              <w:rPr>
                <w:rFonts w:ascii="宋体" w:eastAsia="宋体" w:hAnsi="宋体" w:cs="宋体"/>
                <w:b/>
                <w:i w:val="0"/>
                <w:color w:val="000000"/>
                <w:sz w:val="14"/>
              </w:rPr>
              <w:t xml:space="preserve">154.00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239.33</w:t>
            </w:r>
          </w:p>
        </w:tc>
        <w:tc>
          <w:tcPr>
            <w:tcW w:w="1060" w:type="dxa"/>
            <w:tcBorders/>
            <w:vAlign w:val="center"/>
          </w:tcPr>
          <w:p>
            <w:pPr>
              <w:jc w:val="right"/>
            </w:pPr>
            <w:r>
              <w:rPr>
                <w:rFonts w:ascii="宋体" w:eastAsia="宋体" w:hAnsi="宋体" w:cs="宋体"/>
                <w:b w:val="0"/>
                <w:i w:val="0"/>
                <w:color w:val="000000"/>
                <w:sz w:val="14"/>
              </w:rPr>
              <w:t xml:space="preserve">85.33</w:t>
            </w:r>
          </w:p>
        </w:tc>
        <w:tc>
          <w:tcPr>
            <w:tcW w:w="1060" w:type="dxa"/>
            <w:tcBorders/>
            <w:vAlign w:val="center"/>
          </w:tcPr>
          <w:p>
            <w:pPr>
              <w:jc w:val="right"/>
            </w:pPr>
            <w:r>
              <w:rPr>
                <w:rFonts w:ascii="宋体" w:eastAsia="宋体" w:hAnsi="宋体" w:cs="宋体"/>
                <w:b w:val="0"/>
                <w:i w:val="0"/>
                <w:color w:val="000000"/>
                <w:sz w:val="14"/>
              </w:rPr>
              <w:t xml:space="preserve">154.00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238.37</w:t>
            </w:r>
          </w:p>
        </w:tc>
        <w:tc>
          <w:tcPr>
            <w:tcW w:w="1060" w:type="dxa"/>
            <w:tcBorders/>
            <w:vAlign w:val="center"/>
          </w:tcPr>
          <w:p>
            <w:pPr>
              <w:jc w:val="right"/>
            </w:pPr>
            <w:r>
              <w:rPr>
                <w:rFonts w:ascii="宋体" w:eastAsia="宋体" w:hAnsi="宋体" w:cs="宋体"/>
                <w:b w:val="0"/>
                <w:i w:val="0"/>
                <w:color w:val="000000"/>
                <w:sz w:val="14"/>
              </w:rPr>
              <w:t xml:space="preserve">85.33</w:t>
            </w:r>
          </w:p>
        </w:tc>
        <w:tc>
          <w:tcPr>
            <w:tcW w:w="1060" w:type="dxa"/>
            <w:tcBorders/>
            <w:vAlign w:val="center"/>
          </w:tcPr>
          <w:p>
            <w:pPr>
              <w:jc w:val="right"/>
            </w:pPr>
            <w:r>
              <w:rPr>
                <w:rFonts w:ascii="宋体" w:eastAsia="宋体" w:hAnsi="宋体" w:cs="宋体"/>
                <w:b w:val="0"/>
                <w:i w:val="0"/>
                <w:color w:val="000000"/>
                <w:sz w:val="14"/>
              </w:rPr>
              <w:t xml:space="preserve">153.04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238.37</w:t>
            </w:r>
          </w:p>
        </w:tc>
        <w:tc>
          <w:tcPr>
            <w:tcW w:w="1060" w:type="dxa"/>
            <w:tcBorders/>
            <w:vAlign w:val="center"/>
          </w:tcPr>
          <w:p>
            <w:pPr>
              <w:jc w:val="right"/>
            </w:pPr>
            <w:r>
              <w:rPr>
                <w:rFonts w:ascii="宋体" w:eastAsia="宋体" w:hAnsi="宋体" w:cs="宋体"/>
                <w:b w:val="0"/>
                <w:i w:val="0"/>
                <w:color w:val="000000"/>
                <w:sz w:val="14"/>
              </w:rPr>
              <w:t xml:space="preserve">85.33</w:t>
            </w:r>
          </w:p>
        </w:tc>
        <w:tc>
          <w:tcPr>
            <w:tcW w:w="1060" w:type="dxa"/>
            <w:tcBorders/>
            <w:vAlign w:val="center"/>
          </w:tcPr>
          <w:p>
            <w:pPr>
              <w:jc w:val="right"/>
            </w:pPr>
            <w:r>
              <w:rPr>
                <w:rFonts w:ascii="宋体" w:eastAsia="宋体" w:hAnsi="宋体" w:cs="宋体"/>
                <w:b w:val="0"/>
                <w:i w:val="0"/>
                <w:color w:val="000000"/>
                <w:sz w:val="14"/>
              </w:rPr>
              <w:t xml:space="preserve">153.04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0.96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13.01</w:t>
            </w:r>
          </w:p>
        </w:tc>
        <w:tc>
          <w:tcPr>
            <w:tcW w:w="1060" w:type="dxa"/>
            <w:tcBorders/>
            <w:vAlign w:val="center"/>
          </w:tcPr>
          <w:p>
            <w:pPr>
              <w:jc w:val="right"/>
            </w:pPr>
            <w:r>
              <w:rPr>
                <w:rFonts w:ascii="宋体" w:eastAsia="宋体" w:hAnsi="宋体" w:cs="宋体"/>
                <w:b w:val="0"/>
                <w:i w:val="0"/>
                <w:color w:val="000000"/>
                <w:sz w:val="14"/>
              </w:rPr>
              <w:t xml:space="preserve">13.01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13.01</w:t>
            </w:r>
          </w:p>
        </w:tc>
        <w:tc>
          <w:tcPr>
            <w:tcW w:w="1060" w:type="dxa"/>
            <w:tcBorders/>
            <w:vAlign w:val="center"/>
          </w:tcPr>
          <w:p>
            <w:pPr>
              <w:jc w:val="right"/>
            </w:pPr>
            <w:r>
              <w:rPr>
                <w:rFonts w:ascii="宋体" w:eastAsia="宋体" w:hAnsi="宋体" w:cs="宋体"/>
                <w:b w:val="0"/>
                <w:i w:val="0"/>
                <w:color w:val="000000"/>
                <w:sz w:val="14"/>
              </w:rPr>
              <w:t xml:space="preserve">13.01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3.03</w:t>
            </w:r>
          </w:p>
        </w:tc>
        <w:tc>
          <w:tcPr>
            <w:tcW w:w="1060" w:type="dxa"/>
            <w:tcBorders/>
            <w:vAlign w:val="center"/>
          </w:tcPr>
          <w:p>
            <w:pPr>
              <w:jc w:val="right"/>
            </w:pPr>
            <w:r>
              <w:rPr>
                <w:rFonts w:ascii="宋体" w:eastAsia="宋体" w:hAnsi="宋体" w:cs="宋体"/>
                <w:b w:val="0"/>
                <w:i w:val="0"/>
                <w:color w:val="000000"/>
                <w:sz w:val="14"/>
              </w:rPr>
              <w:t xml:space="preserve">3.03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9.98</w:t>
            </w:r>
          </w:p>
        </w:tc>
        <w:tc>
          <w:tcPr>
            <w:tcW w:w="1060" w:type="dxa"/>
            <w:tcBorders/>
            <w:vAlign w:val="center"/>
          </w:tcPr>
          <w:p>
            <w:pPr>
              <w:jc w:val="right"/>
            </w:pPr>
            <w:r>
              <w:rPr>
                <w:rFonts w:ascii="宋体" w:eastAsia="宋体" w:hAnsi="宋体" w:cs="宋体"/>
                <w:b w:val="0"/>
                <w:i w:val="0"/>
                <w:color w:val="000000"/>
                <w:sz w:val="14"/>
              </w:rPr>
              <w:t xml:space="preserve">9.98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jc w:val="right"/>
            </w:pPr>
            <w:r>
              <w:rPr>
                <w:rFonts w:ascii="宋体" w:eastAsia="宋体" w:hAnsi="宋体" w:cs="宋体"/>
                <w:b w:val="0"/>
                <w:i w:val="0"/>
                <w:color w:val="000000"/>
                <w:sz w:val="14"/>
              </w:rPr>
              <w:t xml:space="preserve">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101.72</w:t>
            </w:r>
          </w:p>
        </w:tc>
        <w:tc>
          <w:tcPr>
            <w:tcW w:w="1100" w:type="dxa"/>
            <w:tcBorders/>
            <w:vAlign w:val="center"/>
          </w:tcPr>
          <w:p>
            <w:pPr>
              <w:jc w:val="right"/>
            </w:pPr>
            <w:r>
              <w:rPr>
                <w:rFonts w:ascii="宋体" w:eastAsia="宋体" w:hAnsi="宋体" w:cs="宋体"/>
                <w:b w:val="0"/>
                <w:i w:val="0"/>
                <w:color w:val="000000"/>
                <w:sz w:val="14"/>
              </w:rPr>
              <w:t xml:space="preserve">101.72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13.01</w:t>
            </w:r>
          </w:p>
        </w:tc>
        <w:tc>
          <w:tcPr>
            <w:tcW w:w="1100" w:type="dxa"/>
            <w:tcBorders/>
            <w:vAlign w:val="center"/>
          </w:tcPr>
          <w:p>
            <w:pPr>
              <w:jc w:val="right"/>
            </w:pPr>
            <w:r>
              <w:rPr>
                <w:rFonts w:ascii="宋体" w:eastAsia="宋体" w:hAnsi="宋体" w:cs="宋体"/>
                <w:b w:val="0"/>
                <w:i w:val="0"/>
                <w:color w:val="000000"/>
                <w:sz w:val="14"/>
              </w:rPr>
              <w:t xml:space="preserve">13.01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4.32</w:t>
            </w:r>
          </w:p>
        </w:tc>
        <w:tc>
          <w:tcPr>
            <w:tcW w:w="1100" w:type="dxa"/>
            <w:tcBorders/>
            <w:vAlign w:val="center"/>
          </w:tcPr>
          <w:p>
            <w:pPr>
              <w:jc w:val="right"/>
            </w:pPr>
            <w:r>
              <w:rPr>
                <w:rFonts w:ascii="宋体" w:eastAsia="宋体" w:hAnsi="宋体" w:cs="宋体"/>
                <w:b w:val="0"/>
                <w:i w:val="0"/>
                <w:color w:val="000000"/>
                <w:sz w:val="14"/>
              </w:rPr>
              <w:t xml:space="preserve">4.32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1100" w:type="dxa"/>
            <w:tcBorders/>
            <w:vAlign w:val="center"/>
          </w:tcPr>
          <w:p>
            <w:pPr>
              <w:jc w:val="right"/>
            </w:pPr>
            <w:r>
              <w:rPr>
                <w:rFonts w:ascii="宋体" w:eastAsia="宋体" w:hAnsi="宋体" w:cs="宋体"/>
                <w:b w:val="0"/>
                <w:i w:val="0"/>
                <w:color w:val="000000"/>
                <w:sz w:val="14"/>
              </w:rPr>
              <w:t xml:space="preserve">119.05</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119.05</w:t>
            </w:r>
          </w:p>
        </w:tc>
        <w:tc>
          <w:tcPr>
            <w:tcW w:w="1780" w:type="dxa"/>
            <w:tcBorders/>
            <w:vAlign w:val="center"/>
          </w:tcPr>
          <w:p>
            <w:pPr>
              <w:jc w:val="right"/>
            </w:pPr>
            <w:r>
              <w:rPr>
                <w:rFonts w:ascii="宋体" w:eastAsia="宋体" w:hAnsi="宋体" w:cs="宋体"/>
                <w:b/>
                <w:i w:val="0"/>
                <w:color w:val="000000"/>
                <w:sz w:val="18"/>
              </w:rPr>
              <w:t xml:space="preserve">102.66</w:t>
            </w:r>
          </w:p>
        </w:tc>
        <w:tc>
          <w:tcPr>
            <w:tcW w:w="1772" w:type="dxa"/>
            <w:tcBorders/>
            <w:vAlign w:val="center"/>
          </w:tcPr>
          <w:p>
            <w:pPr>
              <w:jc w:val="right"/>
            </w:pPr>
            <w:r>
              <w:rPr>
                <w:rFonts w:ascii="宋体" w:eastAsia="宋体" w:hAnsi="宋体" w:cs="宋体"/>
                <w:b/>
                <w:i w:val="0"/>
                <w:color w:val="000000"/>
                <w:sz w:val="18"/>
              </w:rPr>
              <w:t xml:space="preserve">16.39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101.72</w:t>
            </w:r>
          </w:p>
        </w:tc>
        <w:tc>
          <w:tcPr>
            <w:tcW w:w="1780" w:type="dxa"/>
            <w:tcBorders/>
            <w:vAlign w:val="center"/>
          </w:tcPr>
          <w:p>
            <w:pPr>
              <w:jc w:val="right"/>
            </w:pPr>
            <w:r>
              <w:rPr>
                <w:rFonts w:ascii="宋体" w:eastAsia="宋体" w:hAnsi="宋体" w:cs="宋体"/>
                <w:b w:val="0"/>
                <w:i w:val="0"/>
                <w:color w:val="000000"/>
                <w:sz w:val="18"/>
              </w:rPr>
              <w:t xml:space="preserve">85.33</w:t>
            </w:r>
          </w:p>
        </w:tc>
        <w:tc>
          <w:tcPr>
            <w:tcW w:w="1772" w:type="dxa"/>
            <w:tcBorders/>
            <w:vAlign w:val="center"/>
          </w:tcPr>
          <w:p>
            <w:pPr>
              <w:jc w:val="right"/>
            </w:pPr>
            <w:r>
              <w:rPr>
                <w:rFonts w:ascii="宋体" w:eastAsia="宋体" w:hAnsi="宋体" w:cs="宋体"/>
                <w:b w:val="0"/>
                <w:i w:val="0"/>
                <w:color w:val="000000"/>
                <w:sz w:val="18"/>
              </w:rPr>
              <w:t xml:space="preserve">16.39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100.76</w:t>
            </w:r>
          </w:p>
        </w:tc>
        <w:tc>
          <w:tcPr>
            <w:tcW w:w="1780" w:type="dxa"/>
            <w:tcBorders/>
            <w:vAlign w:val="center"/>
          </w:tcPr>
          <w:p>
            <w:pPr>
              <w:jc w:val="right"/>
            </w:pPr>
            <w:r>
              <w:rPr>
                <w:rFonts w:ascii="宋体" w:eastAsia="宋体" w:hAnsi="宋体" w:cs="宋体"/>
                <w:b w:val="0"/>
                <w:i w:val="0"/>
                <w:color w:val="000000"/>
                <w:sz w:val="18"/>
              </w:rPr>
              <w:t xml:space="preserve">85.33</w:t>
            </w:r>
          </w:p>
        </w:tc>
        <w:tc>
          <w:tcPr>
            <w:tcW w:w="1772" w:type="dxa"/>
            <w:tcBorders/>
            <w:vAlign w:val="center"/>
          </w:tcPr>
          <w:p>
            <w:pPr>
              <w:jc w:val="right"/>
            </w:pPr>
            <w:r>
              <w:rPr>
                <w:rFonts w:ascii="宋体" w:eastAsia="宋体" w:hAnsi="宋体" w:cs="宋体"/>
                <w:b w:val="0"/>
                <w:i w:val="0"/>
                <w:color w:val="000000"/>
                <w:sz w:val="18"/>
              </w:rPr>
              <w:t xml:space="preserve">15.43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100.76</w:t>
            </w:r>
          </w:p>
        </w:tc>
        <w:tc>
          <w:tcPr>
            <w:tcW w:w="1780" w:type="dxa"/>
            <w:tcBorders/>
            <w:vAlign w:val="center"/>
          </w:tcPr>
          <w:p>
            <w:pPr>
              <w:jc w:val="right"/>
            </w:pPr>
            <w:r>
              <w:rPr>
                <w:rFonts w:ascii="宋体" w:eastAsia="宋体" w:hAnsi="宋体" w:cs="宋体"/>
                <w:b w:val="0"/>
                <w:i w:val="0"/>
                <w:color w:val="000000"/>
                <w:sz w:val="18"/>
              </w:rPr>
              <w:t xml:space="preserve">85.33</w:t>
            </w:r>
          </w:p>
        </w:tc>
        <w:tc>
          <w:tcPr>
            <w:tcW w:w="1772" w:type="dxa"/>
            <w:tcBorders/>
            <w:vAlign w:val="center"/>
          </w:tcPr>
          <w:p>
            <w:pPr>
              <w:jc w:val="right"/>
            </w:pPr>
            <w:r>
              <w:rPr>
                <w:rFonts w:ascii="宋体" w:eastAsia="宋体" w:hAnsi="宋体" w:cs="宋体"/>
                <w:b w:val="0"/>
                <w:i w:val="0"/>
                <w:color w:val="000000"/>
                <w:sz w:val="18"/>
              </w:rPr>
              <w:t xml:space="preserve">15.43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0.96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13.01</w:t>
            </w:r>
          </w:p>
        </w:tc>
        <w:tc>
          <w:tcPr>
            <w:tcW w:w="1780" w:type="dxa"/>
            <w:tcBorders/>
            <w:vAlign w:val="center"/>
          </w:tcPr>
          <w:p>
            <w:pPr>
              <w:jc w:val="right"/>
            </w:pPr>
            <w:r>
              <w:rPr>
                <w:rFonts w:ascii="宋体" w:eastAsia="宋体" w:hAnsi="宋体" w:cs="宋体"/>
                <w:b w:val="0"/>
                <w:i w:val="0"/>
                <w:color w:val="000000"/>
                <w:sz w:val="18"/>
              </w:rPr>
              <w:t xml:space="preserve">13.01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13.01</w:t>
            </w:r>
          </w:p>
        </w:tc>
        <w:tc>
          <w:tcPr>
            <w:tcW w:w="1780" w:type="dxa"/>
            <w:tcBorders/>
            <w:vAlign w:val="center"/>
          </w:tcPr>
          <w:p>
            <w:pPr>
              <w:jc w:val="right"/>
            </w:pPr>
            <w:r>
              <w:rPr>
                <w:rFonts w:ascii="宋体" w:eastAsia="宋体" w:hAnsi="宋体" w:cs="宋体"/>
                <w:b w:val="0"/>
                <w:i w:val="0"/>
                <w:color w:val="000000"/>
                <w:sz w:val="18"/>
              </w:rPr>
              <w:t xml:space="preserve">13.01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3.03</w:t>
            </w:r>
          </w:p>
        </w:tc>
        <w:tc>
          <w:tcPr>
            <w:tcW w:w="1780" w:type="dxa"/>
            <w:tcBorders/>
            <w:vAlign w:val="center"/>
          </w:tcPr>
          <w:p>
            <w:pPr>
              <w:jc w:val="right"/>
            </w:pPr>
            <w:r>
              <w:rPr>
                <w:rFonts w:ascii="宋体" w:eastAsia="宋体" w:hAnsi="宋体" w:cs="宋体"/>
                <w:b w:val="0"/>
                <w:i w:val="0"/>
                <w:color w:val="000000"/>
                <w:sz w:val="18"/>
              </w:rPr>
              <w:t xml:space="preserve">3.03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9.98</w:t>
            </w:r>
          </w:p>
        </w:tc>
        <w:tc>
          <w:tcPr>
            <w:tcW w:w="1780" w:type="dxa"/>
            <w:tcBorders/>
            <w:vAlign w:val="center"/>
          </w:tcPr>
          <w:p>
            <w:pPr>
              <w:jc w:val="right"/>
            </w:pPr>
            <w:r>
              <w:rPr>
                <w:rFonts w:ascii="宋体" w:eastAsia="宋体" w:hAnsi="宋体" w:cs="宋体"/>
                <w:b w:val="0"/>
                <w:i w:val="0"/>
                <w:color w:val="000000"/>
                <w:sz w:val="18"/>
              </w:rPr>
              <w:t xml:space="preserve">9.98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80" w:type="dxa"/>
            <w:tcBorders/>
            <w:vAlign w:val="center"/>
          </w:tcPr>
          <w:p>
            <w:pPr>
              <w:jc w:val="right"/>
            </w:pPr>
            <w:r>
              <w:rPr>
                <w:rFonts w:ascii="宋体" w:eastAsia="宋体" w:hAnsi="宋体" w:cs="宋体"/>
                <w:b w:val="0"/>
                <w:i w:val="0"/>
                <w:color w:val="000000"/>
                <w:sz w:val="18"/>
              </w:rPr>
              <w:t xml:space="preserve">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93.32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6.31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27.10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11.32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1.75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2.68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35.71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9.98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4.18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4.32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0.47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3.03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3.03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0.67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96.35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6.31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单位：辽宁省沈阳市浑南区招生考试委员会办公室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023051沈阳市浑南区招生考试委员会办公室-210112000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137.02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137.02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70.69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确保单位正常支出运转，保证各级各类考试正常运转。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有利于提高民族素质</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标准化考点建设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保障浑南区考生顺利完成各级各类考试任务。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项目已完成，未验收，未请款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标准化考点无线电屏蔽器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保证各级各类考试正常运转。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项目已完成，但未拨款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非本级预算单位人员类支出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确保单位日常支出运转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高考智能安检门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保证考试正常运转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项目已完成，但未拨款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考试、考务经费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沈阳市浑南区招生考试委员会办公室-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考试任务完成，部分考务费未拨款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经费保障:我区财政资金紧张，预算资金不足，突发支出挤占预算经费，导致经费保障不能落实到位。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经费保障:优化预算编制，简化审批流程，多方筹措资金，严格控制非必要支出，动态监控使用资金。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16.71700233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