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辽宁省沈阳市北京师范大学沈阳附属学校</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辽宁省沈阳市北京师范大学沈阳附属学校</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辽宁省沈阳市北京师范大学沈阳附属学校</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辽宁省沈阳市北京师范大学沈阳附属学校</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辽宁省沈阳市北京师范大学沈阳附属学校</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辽宁省沈阳市北京师范大学沈阳附属学校概况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（一）组织教育教学、科学研究活动，保证教育教学质量。维护教职工利益，保障教职工合法权益，以教职工和学生的人生幸福和生命质量作为重点。</w:t>
        <w:br/>
        <w:t xml:space="preserve">    （二）制定学校发展规划，并抓好组织实施和落实情况。</w:t>
        <w:br/>
        <w:t xml:space="preserve">    （三）科学管理、合理使用学校的设施和经费，并积极筹措办学资金，改善办学条件。</w:t>
        <w:br/>
        <w:t xml:space="preserve">    （四）依法接受各级教育行政部门的检查指导和人民群众的监督。</w:t>
        <w:br/>
        <w:t xml:space="preserve">    （五）财务管理方面：</w:t>
        <w:b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b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辽宁省沈阳市北京师范大学沈阳附属学校</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北京师范大学沈阳附属学校是纳入浑南区教育局2022年部门决算编制范围的二级预算单位,本单位无下设机构。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1966.97</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1938.27</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98.54</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1938.27</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17.34</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0.88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主要是招办户收考务费等收入。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11.36</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0.58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主要是暂时无法支付的工会经费等。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增加173.46万元，增长9.67%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学生人数增加，教师人数增加，生均经费和工资保险经费均相应增加，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1960.43</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1281.11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65.35</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工资福利支出1250.15万元；商品和服务支出30.59万元；对个人和家庭的补助0.36万元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679.32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34.65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主要包括教师绩效工资、采暖费、物业费、水电费等业务支出。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增加176.37万元，增长9.89%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学生人数和教师人数均有大幅增加，生均经费和人员支出也相应增加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6.54</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主要是工会经费因账户问题暂时无法支出等原因形成的结余。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减少2.91万元，降低30.77%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上年结余经费已经大部分支出</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1938.27</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1281.11</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657.16</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增加246.69万元，增长14.58%</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学生和教师人数均有所增加，生均经费和人员支出经费相应增加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115.77</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76.52</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2024年度一般公共预算财政拨款支出1938.27万元。按支出功能分类科目分，包括：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1.教育支出1926.75万元，具体包括：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（1）教育支出（类）普通教育（款）初中教育（项）1917.53万元,主要是人员经费、公用经费等支出，完成年初预算的100%，决算数与年初预算数存在差异的主要原因是完全按照预算执行，决算数与预算数无差异。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教育费附加安排的支出（款）其他教育费附加安排的支出（项）9.22万元,主要是采暖费、物业费、水电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2.社会保障和就业支出11.52万元，具体包括：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0.36万元,主要是退休人员费用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11.16万元,主要是退休人员费用等支出，完成年初预算的100%，决算数与年初预算数存在差异的主要原因是完全按照预算执行，决算数与预算数无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我单位无相关费用支出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我单位无相关费用支出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我单位无相关费用支出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我单位无相关费用支出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我单位无相关费用支出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我单位无相关费用支出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我单位无相关费用支出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1281.10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1250.51</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30.59</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我单位无相关费用支出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具体而言，本年度我部门共组织对12个项目实施了绩效评价。从预算资金来源看，涉及一般公共预算的项目12个，涉及政府性基金预算的项目0个，涉及国有资本经营预算的项目0个。</w:t>
        <w:br/>
        <w:t xml:space="preserve">    上述评价工作共涉及财政资金657.16万元。其中，一般公共预算资金657.16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12个；得分在80分（含）至90分、等级为“良”的项目有0个；得分在60分（含）至80分、等级为“中”的项目有0；得分在60分以下、等级为“差”的项目有0个。各项目自评发现，部分项目存在预算执行进度偏慢问题，已要求单位分析原因并制定改进措施。</w:t>
        <w:br/>
        <w:t xml:space="preserve">    3.部门重点评价情况及结果。</w:t>
        <w:br/>
        <w:t xml:space="preserve">    在全面自评的基础上，本部门选取了1个资金量大、社会关注度高、具有代表性的重点项目实施了部门重点评价。评价工作通过组建评价小组、现场核查方式进行，确保了评价结果的客观性和公正性。</w:t>
        <w:br/>
        <w:t xml:space="preserve">    我部门组织对2个项目重点评价，结果显示，被评价项目整体绩效情况良好。其中：第一个重点项目为教师绩效工资，涉及资金167.40万元，评价平均分为95分，评级情况为优；第二个重点项目为办公楼维修维护，涉及资金34.37万元，评价平均分为95分，评级情况为优。同时，评价也发现教育教学经费项目存在问题，绩效指标设置不够细化、资金使用效益有待进一步提升。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整体绩效自评情况及结果。</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16.教育支出（类）普通教育（款）小学教育（项）：反映各部门举办的初中教育支出。政府各部门对社会组织等举办的初中的资助，如捐赠、补贴等。</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单位：辽宁省沈阳市北京师范大学沈阳附属学校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1,938.27</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1,948.91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17.34</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11.52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1,955.61</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1,960.43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11.36</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6.54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1,966.97</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1,966.97</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单位：辽宁省沈阳市北京师范大学沈阳附属学校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1,955.61</w:t>
            </w:r>
          </w:p>
        </w:tc>
        <w:tc>
          <w:tcPr>
            <w:tcW w:w="960" w:type="dxa"/>
            <w:tcBorders/>
            <w:vAlign w:val="center"/>
          </w:tcPr>
          <w:p>
            <w:pPr>
              <w:jc w:val="right"/>
            </w:pPr>
            <w:r>
              <w:rPr>
                <w:rFonts w:ascii="宋体" w:eastAsia="宋体" w:hAnsi="宋体" w:cs="宋体"/>
                <w:b/>
                <w:i w:val="0"/>
                <w:color w:val="000000"/>
                <w:sz w:val="13"/>
              </w:rPr>
              <w:t xml:space="preserve">1,938.27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17.34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1,944.09</w:t>
            </w:r>
          </w:p>
        </w:tc>
        <w:tc>
          <w:tcPr>
            <w:tcW w:w="960" w:type="dxa"/>
            <w:tcBorders/>
            <w:vAlign w:val="center"/>
          </w:tcPr>
          <w:p>
            <w:pPr>
              <w:jc w:val="right"/>
            </w:pPr>
            <w:r>
              <w:rPr>
                <w:rFonts w:ascii="宋体" w:eastAsia="宋体" w:hAnsi="宋体" w:cs="宋体"/>
                <w:b w:val="0"/>
                <w:i w:val="0"/>
                <w:color w:val="000000"/>
                <w:sz w:val="13"/>
              </w:rPr>
              <w:t xml:space="preserve">1,926.75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17.34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1,934.87</w:t>
            </w:r>
          </w:p>
        </w:tc>
        <w:tc>
          <w:tcPr>
            <w:tcW w:w="960" w:type="dxa"/>
            <w:tcBorders/>
            <w:vAlign w:val="center"/>
          </w:tcPr>
          <w:p>
            <w:pPr>
              <w:jc w:val="right"/>
            </w:pPr>
            <w:r>
              <w:rPr>
                <w:rFonts w:ascii="宋体" w:eastAsia="宋体" w:hAnsi="宋体" w:cs="宋体"/>
                <w:b w:val="0"/>
                <w:i w:val="0"/>
                <w:color w:val="000000"/>
                <w:sz w:val="13"/>
              </w:rPr>
              <w:t xml:space="preserve">1,917.53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17.34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2050203</w:t>
            </w:r>
          </w:p>
        </w:tc>
        <w:tc>
          <w:tcPr>
            <w:tcW w:w="3200" w:type="dxa"/>
            <w:tcBorders/>
            <w:vAlign w:val="center"/>
          </w:tcPr>
          <w:p>
            <w:pPr>
              <w:jc w:val="left"/>
            </w:pPr>
            <w:r>
              <w:rPr>
                <w:rFonts w:ascii="宋体" w:eastAsia="宋体" w:hAnsi="宋体" w:cs="宋体"/>
                <w:b w:val="0"/>
                <w:i w:val="0"/>
                <w:color w:val="000000"/>
                <w:sz w:val="13"/>
              </w:rPr>
              <w:t xml:space="preserve">初中教育</w:t>
            </w:r>
          </w:p>
        </w:tc>
        <w:tc>
          <w:tcPr>
            <w:tcW w:w="960" w:type="dxa"/>
            <w:tcBorders/>
            <w:vAlign w:val="center"/>
          </w:tcPr>
          <w:p>
            <w:pPr>
              <w:jc w:val="right"/>
            </w:pPr>
            <w:r>
              <w:rPr>
                <w:rFonts w:ascii="宋体" w:eastAsia="宋体" w:hAnsi="宋体" w:cs="宋体"/>
                <w:b w:val="0"/>
                <w:i w:val="0"/>
                <w:color w:val="000000"/>
                <w:sz w:val="13"/>
              </w:rPr>
              <w:t xml:space="preserve">1,917.53</w:t>
            </w:r>
          </w:p>
        </w:tc>
        <w:tc>
          <w:tcPr>
            <w:tcW w:w="960" w:type="dxa"/>
            <w:tcBorders/>
            <w:vAlign w:val="center"/>
          </w:tcPr>
          <w:p>
            <w:pPr>
              <w:jc w:val="right"/>
            </w:pPr>
            <w:r>
              <w:rPr>
                <w:rFonts w:ascii="宋体" w:eastAsia="宋体" w:hAnsi="宋体" w:cs="宋体"/>
                <w:b w:val="0"/>
                <w:i w:val="0"/>
                <w:color w:val="000000"/>
                <w:sz w:val="13"/>
              </w:rPr>
              <w:t xml:space="preserve">1,917.53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17.34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17.34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9.22</w:t>
            </w:r>
          </w:p>
        </w:tc>
        <w:tc>
          <w:tcPr>
            <w:tcW w:w="960" w:type="dxa"/>
            <w:tcBorders/>
            <w:vAlign w:val="center"/>
          </w:tcPr>
          <w:p>
            <w:pPr>
              <w:jc w:val="right"/>
            </w:pPr>
            <w:r>
              <w:rPr>
                <w:rFonts w:ascii="宋体" w:eastAsia="宋体" w:hAnsi="宋体" w:cs="宋体"/>
                <w:b w:val="0"/>
                <w:i w:val="0"/>
                <w:color w:val="000000"/>
                <w:sz w:val="13"/>
              </w:rPr>
              <w:t xml:space="preserve">9.22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9.22</w:t>
            </w:r>
          </w:p>
        </w:tc>
        <w:tc>
          <w:tcPr>
            <w:tcW w:w="960" w:type="dxa"/>
            <w:tcBorders/>
            <w:vAlign w:val="center"/>
          </w:tcPr>
          <w:p>
            <w:pPr>
              <w:jc w:val="right"/>
            </w:pPr>
            <w:r>
              <w:rPr>
                <w:rFonts w:ascii="宋体" w:eastAsia="宋体" w:hAnsi="宋体" w:cs="宋体"/>
                <w:b w:val="0"/>
                <w:i w:val="0"/>
                <w:color w:val="000000"/>
                <w:sz w:val="13"/>
              </w:rPr>
              <w:t xml:space="preserve">9.22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11.52</w:t>
            </w:r>
          </w:p>
        </w:tc>
        <w:tc>
          <w:tcPr>
            <w:tcW w:w="960" w:type="dxa"/>
            <w:tcBorders/>
            <w:vAlign w:val="center"/>
          </w:tcPr>
          <w:p>
            <w:pPr>
              <w:jc w:val="right"/>
            </w:pPr>
            <w:r>
              <w:rPr>
                <w:rFonts w:ascii="宋体" w:eastAsia="宋体" w:hAnsi="宋体" w:cs="宋体"/>
                <w:b w:val="0"/>
                <w:i w:val="0"/>
                <w:color w:val="000000"/>
                <w:sz w:val="13"/>
              </w:rPr>
              <w:t xml:space="preserve">11.52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11.52</w:t>
            </w:r>
          </w:p>
        </w:tc>
        <w:tc>
          <w:tcPr>
            <w:tcW w:w="960" w:type="dxa"/>
            <w:tcBorders/>
            <w:vAlign w:val="center"/>
          </w:tcPr>
          <w:p>
            <w:pPr>
              <w:jc w:val="right"/>
            </w:pPr>
            <w:r>
              <w:rPr>
                <w:rFonts w:ascii="宋体" w:eastAsia="宋体" w:hAnsi="宋体" w:cs="宋体"/>
                <w:b w:val="0"/>
                <w:i w:val="0"/>
                <w:color w:val="000000"/>
                <w:sz w:val="13"/>
              </w:rPr>
              <w:t xml:space="preserve">11.52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0.36</w:t>
            </w:r>
          </w:p>
        </w:tc>
        <w:tc>
          <w:tcPr>
            <w:tcW w:w="960" w:type="dxa"/>
            <w:tcBorders/>
            <w:vAlign w:val="center"/>
          </w:tcPr>
          <w:p>
            <w:pPr>
              <w:jc w:val="right"/>
            </w:pPr>
            <w:r>
              <w:rPr>
                <w:rFonts w:ascii="宋体" w:eastAsia="宋体" w:hAnsi="宋体" w:cs="宋体"/>
                <w:b w:val="0"/>
                <w:i w:val="0"/>
                <w:color w:val="000000"/>
                <w:sz w:val="13"/>
              </w:rPr>
              <w:t xml:space="preserve">0.36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11.16</w:t>
            </w:r>
          </w:p>
        </w:tc>
        <w:tc>
          <w:tcPr>
            <w:tcW w:w="960" w:type="dxa"/>
            <w:tcBorders/>
            <w:vAlign w:val="center"/>
          </w:tcPr>
          <w:p>
            <w:pPr>
              <w:jc w:val="right"/>
            </w:pPr>
            <w:r>
              <w:rPr>
                <w:rFonts w:ascii="宋体" w:eastAsia="宋体" w:hAnsi="宋体" w:cs="宋体"/>
                <w:b w:val="0"/>
                <w:i w:val="0"/>
                <w:color w:val="000000"/>
                <w:sz w:val="13"/>
              </w:rPr>
              <w:t xml:space="preserve">11.16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单位：辽宁省沈阳市北京师范大学沈阳附属学校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1,960.43</w:t>
            </w:r>
          </w:p>
        </w:tc>
        <w:tc>
          <w:tcPr>
            <w:tcW w:w="1060" w:type="dxa"/>
            <w:tcBorders/>
            <w:vAlign w:val="center"/>
          </w:tcPr>
          <w:p>
            <w:pPr>
              <w:jc w:val="right"/>
            </w:pPr>
            <w:r>
              <w:rPr>
                <w:rFonts w:ascii="宋体" w:eastAsia="宋体" w:hAnsi="宋体" w:cs="宋体"/>
                <w:b/>
                <w:i w:val="0"/>
                <w:color w:val="000000"/>
                <w:sz w:val="14"/>
              </w:rPr>
              <w:t xml:space="preserve">1,281.11</w:t>
            </w:r>
          </w:p>
        </w:tc>
        <w:tc>
          <w:tcPr>
            <w:tcW w:w="1060" w:type="dxa"/>
            <w:tcBorders/>
            <w:vAlign w:val="center"/>
          </w:tcPr>
          <w:p>
            <w:pPr>
              <w:jc w:val="right"/>
            </w:pPr>
            <w:r>
              <w:rPr>
                <w:rFonts w:ascii="宋体" w:eastAsia="宋体" w:hAnsi="宋体" w:cs="宋体"/>
                <w:b/>
                <w:i w:val="0"/>
                <w:color w:val="000000"/>
                <w:sz w:val="14"/>
              </w:rPr>
              <w:t xml:space="preserve">679.32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1,948.91</w:t>
            </w:r>
          </w:p>
        </w:tc>
        <w:tc>
          <w:tcPr>
            <w:tcW w:w="1060" w:type="dxa"/>
            <w:tcBorders/>
            <w:vAlign w:val="center"/>
          </w:tcPr>
          <w:p>
            <w:pPr>
              <w:jc w:val="right"/>
            </w:pPr>
            <w:r>
              <w:rPr>
                <w:rFonts w:ascii="宋体" w:eastAsia="宋体" w:hAnsi="宋体" w:cs="宋体"/>
                <w:b w:val="0"/>
                <w:i w:val="0"/>
                <w:color w:val="000000"/>
                <w:sz w:val="14"/>
              </w:rPr>
              <w:t xml:space="preserve">1,269.58</w:t>
            </w:r>
          </w:p>
        </w:tc>
        <w:tc>
          <w:tcPr>
            <w:tcW w:w="1060" w:type="dxa"/>
            <w:tcBorders/>
            <w:vAlign w:val="center"/>
          </w:tcPr>
          <w:p>
            <w:pPr>
              <w:jc w:val="right"/>
            </w:pPr>
            <w:r>
              <w:rPr>
                <w:rFonts w:ascii="宋体" w:eastAsia="宋体" w:hAnsi="宋体" w:cs="宋体"/>
                <w:b w:val="0"/>
                <w:i w:val="0"/>
                <w:color w:val="000000"/>
                <w:sz w:val="14"/>
              </w:rPr>
              <w:t xml:space="preserve">679.33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1,939.69</w:t>
            </w:r>
          </w:p>
        </w:tc>
        <w:tc>
          <w:tcPr>
            <w:tcW w:w="1060" w:type="dxa"/>
            <w:tcBorders/>
            <w:vAlign w:val="center"/>
          </w:tcPr>
          <w:p>
            <w:pPr>
              <w:jc w:val="right"/>
            </w:pPr>
            <w:r>
              <w:rPr>
                <w:rFonts w:ascii="宋体" w:eastAsia="宋体" w:hAnsi="宋体" w:cs="宋体"/>
                <w:b w:val="0"/>
                <w:i w:val="0"/>
                <w:color w:val="000000"/>
                <w:sz w:val="14"/>
              </w:rPr>
              <w:t xml:space="preserve">1,269.58</w:t>
            </w:r>
          </w:p>
        </w:tc>
        <w:tc>
          <w:tcPr>
            <w:tcW w:w="1060" w:type="dxa"/>
            <w:tcBorders/>
            <w:vAlign w:val="center"/>
          </w:tcPr>
          <w:p>
            <w:pPr>
              <w:jc w:val="right"/>
            </w:pPr>
            <w:r>
              <w:rPr>
                <w:rFonts w:ascii="宋体" w:eastAsia="宋体" w:hAnsi="宋体" w:cs="宋体"/>
                <w:b w:val="0"/>
                <w:i w:val="0"/>
                <w:color w:val="000000"/>
                <w:sz w:val="14"/>
              </w:rPr>
              <w:t xml:space="preserve">670.11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2050203</w:t>
            </w:r>
          </w:p>
        </w:tc>
        <w:tc>
          <w:tcPr>
            <w:tcW w:w="3440" w:type="dxa"/>
            <w:tcBorders/>
            <w:vAlign w:val="center"/>
          </w:tcPr>
          <w:p>
            <w:pPr>
              <w:jc w:val="left"/>
            </w:pPr>
            <w:r>
              <w:rPr>
                <w:rFonts w:ascii="宋体" w:eastAsia="宋体" w:hAnsi="宋体" w:cs="宋体"/>
                <w:b w:val="0"/>
                <w:i w:val="0"/>
                <w:color w:val="000000"/>
                <w:sz w:val="14"/>
              </w:rPr>
              <w:t xml:space="preserve">初中教育</w:t>
            </w:r>
          </w:p>
        </w:tc>
        <w:tc>
          <w:tcPr>
            <w:tcW w:w="1060" w:type="dxa"/>
            <w:tcBorders/>
            <w:vAlign w:val="center"/>
          </w:tcPr>
          <w:p>
            <w:pPr>
              <w:jc w:val="right"/>
            </w:pPr>
            <w:r>
              <w:rPr>
                <w:rFonts w:ascii="宋体" w:eastAsia="宋体" w:hAnsi="宋体" w:cs="宋体"/>
                <w:b w:val="0"/>
                <w:i w:val="0"/>
                <w:color w:val="000000"/>
                <w:sz w:val="14"/>
              </w:rPr>
              <w:t xml:space="preserve">1,917.53</w:t>
            </w:r>
          </w:p>
        </w:tc>
        <w:tc>
          <w:tcPr>
            <w:tcW w:w="1060" w:type="dxa"/>
            <w:tcBorders/>
            <w:vAlign w:val="center"/>
          </w:tcPr>
          <w:p>
            <w:pPr>
              <w:jc w:val="right"/>
            </w:pPr>
            <w:r>
              <w:rPr>
                <w:rFonts w:ascii="宋体" w:eastAsia="宋体" w:hAnsi="宋体" w:cs="宋体"/>
                <w:b w:val="0"/>
                <w:i w:val="0"/>
                <w:color w:val="000000"/>
                <w:sz w:val="14"/>
              </w:rPr>
              <w:t xml:space="preserve">1,269.58</w:t>
            </w:r>
          </w:p>
        </w:tc>
        <w:tc>
          <w:tcPr>
            <w:tcW w:w="1060" w:type="dxa"/>
            <w:tcBorders/>
            <w:vAlign w:val="center"/>
          </w:tcPr>
          <w:p>
            <w:pPr>
              <w:jc w:val="right"/>
            </w:pPr>
            <w:r>
              <w:rPr>
                <w:rFonts w:ascii="宋体" w:eastAsia="宋体" w:hAnsi="宋体" w:cs="宋体"/>
                <w:b w:val="0"/>
                <w:i w:val="0"/>
                <w:color w:val="000000"/>
                <w:sz w:val="14"/>
              </w:rPr>
              <w:t xml:space="preserve">647.95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22.16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22.16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9.22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9.22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9.22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9.22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11.52</w:t>
            </w:r>
          </w:p>
        </w:tc>
        <w:tc>
          <w:tcPr>
            <w:tcW w:w="1060" w:type="dxa"/>
            <w:tcBorders/>
            <w:vAlign w:val="center"/>
          </w:tcPr>
          <w:p>
            <w:pPr>
              <w:jc w:val="right"/>
            </w:pPr>
            <w:r>
              <w:rPr>
                <w:rFonts w:ascii="宋体" w:eastAsia="宋体" w:hAnsi="宋体" w:cs="宋体"/>
                <w:b w:val="0"/>
                <w:i w:val="0"/>
                <w:color w:val="000000"/>
                <w:sz w:val="14"/>
              </w:rPr>
              <w:t xml:space="preserve">11.52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11.52</w:t>
            </w:r>
          </w:p>
        </w:tc>
        <w:tc>
          <w:tcPr>
            <w:tcW w:w="1060" w:type="dxa"/>
            <w:tcBorders/>
            <w:vAlign w:val="center"/>
          </w:tcPr>
          <w:p>
            <w:pPr>
              <w:jc w:val="right"/>
            </w:pPr>
            <w:r>
              <w:rPr>
                <w:rFonts w:ascii="宋体" w:eastAsia="宋体" w:hAnsi="宋体" w:cs="宋体"/>
                <w:b w:val="0"/>
                <w:i w:val="0"/>
                <w:color w:val="000000"/>
                <w:sz w:val="14"/>
              </w:rPr>
              <w:t xml:space="preserve">11.52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0.36</w:t>
            </w:r>
          </w:p>
        </w:tc>
        <w:tc>
          <w:tcPr>
            <w:tcW w:w="1060" w:type="dxa"/>
            <w:tcBorders/>
            <w:vAlign w:val="center"/>
          </w:tcPr>
          <w:p>
            <w:pPr>
              <w:jc w:val="right"/>
            </w:pPr>
            <w:r>
              <w:rPr>
                <w:rFonts w:ascii="宋体" w:eastAsia="宋体" w:hAnsi="宋体" w:cs="宋体"/>
                <w:b w:val="0"/>
                <w:i w:val="0"/>
                <w:color w:val="000000"/>
                <w:sz w:val="14"/>
              </w:rPr>
              <w:t xml:space="preserve">0.36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11.16</w:t>
            </w:r>
          </w:p>
        </w:tc>
        <w:tc>
          <w:tcPr>
            <w:tcW w:w="1060" w:type="dxa"/>
            <w:tcBorders/>
            <w:vAlign w:val="center"/>
          </w:tcPr>
          <w:p>
            <w:pPr>
              <w:jc w:val="right"/>
            </w:pPr>
            <w:r>
              <w:rPr>
                <w:rFonts w:ascii="宋体" w:eastAsia="宋体" w:hAnsi="宋体" w:cs="宋体"/>
                <w:b w:val="0"/>
                <w:i w:val="0"/>
                <w:color w:val="000000"/>
                <w:sz w:val="14"/>
              </w:rPr>
              <w:t xml:space="preserve">11.16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单位：辽宁省沈阳市北京师范大学沈阳附属学校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1,938.27</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1,926.75</w:t>
            </w:r>
          </w:p>
        </w:tc>
        <w:tc>
          <w:tcPr>
            <w:tcW w:w="1100" w:type="dxa"/>
            <w:tcBorders/>
            <w:vAlign w:val="center"/>
          </w:tcPr>
          <w:p>
            <w:pPr>
              <w:jc w:val="right"/>
            </w:pPr>
            <w:r>
              <w:rPr>
                <w:rFonts w:ascii="宋体" w:eastAsia="宋体" w:hAnsi="宋体" w:cs="宋体"/>
                <w:b w:val="0"/>
                <w:i w:val="0"/>
                <w:color w:val="000000"/>
                <w:sz w:val="14"/>
              </w:rPr>
              <w:t xml:space="preserve">1,926.75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11.52</w:t>
            </w:r>
          </w:p>
        </w:tc>
        <w:tc>
          <w:tcPr>
            <w:tcW w:w="1100" w:type="dxa"/>
            <w:tcBorders/>
            <w:vAlign w:val="center"/>
          </w:tcPr>
          <w:p>
            <w:pPr>
              <w:jc w:val="right"/>
            </w:pPr>
            <w:r>
              <w:rPr>
                <w:rFonts w:ascii="宋体" w:eastAsia="宋体" w:hAnsi="宋体" w:cs="宋体"/>
                <w:b w:val="0"/>
                <w:i w:val="0"/>
                <w:color w:val="000000"/>
                <w:sz w:val="14"/>
              </w:rPr>
              <w:t xml:space="preserve">11.52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1,938.27</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1,938.27</w:t>
            </w:r>
          </w:p>
        </w:tc>
        <w:tc>
          <w:tcPr>
            <w:tcW w:w="1100" w:type="dxa"/>
            <w:tcBorders/>
            <w:vAlign w:val="center"/>
          </w:tcPr>
          <w:p>
            <w:pPr>
              <w:jc w:val="right"/>
            </w:pPr>
            <w:r>
              <w:rPr>
                <w:rFonts w:ascii="宋体" w:eastAsia="宋体" w:hAnsi="宋体" w:cs="宋体"/>
                <w:b w:val="0"/>
                <w:i w:val="0"/>
                <w:color w:val="000000"/>
                <w:sz w:val="14"/>
              </w:rPr>
              <w:t xml:space="preserve">1,938.27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1,938.27</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1,938.27</w:t>
            </w:r>
          </w:p>
        </w:tc>
        <w:tc>
          <w:tcPr>
            <w:tcW w:w="1100" w:type="dxa"/>
            <w:tcBorders/>
            <w:vAlign w:val="center"/>
          </w:tcPr>
          <w:p>
            <w:pPr>
              <w:jc w:val="right"/>
            </w:pPr>
            <w:r>
              <w:rPr>
                <w:rFonts w:ascii="宋体" w:eastAsia="宋体" w:hAnsi="宋体" w:cs="宋体"/>
                <w:b w:val="0"/>
                <w:i w:val="0"/>
                <w:color w:val="000000"/>
                <w:sz w:val="14"/>
              </w:rPr>
              <w:t xml:space="preserve">1,938.27</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单位：辽宁省沈阳市北京师范大学沈阳附属学校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1,938.27</w:t>
            </w:r>
          </w:p>
        </w:tc>
        <w:tc>
          <w:tcPr>
            <w:tcW w:w="1780" w:type="dxa"/>
            <w:tcBorders/>
            <w:vAlign w:val="center"/>
          </w:tcPr>
          <w:p>
            <w:pPr>
              <w:jc w:val="right"/>
            </w:pPr>
            <w:r>
              <w:rPr>
                <w:rFonts w:ascii="宋体" w:eastAsia="宋体" w:hAnsi="宋体" w:cs="宋体"/>
                <w:b/>
                <w:i w:val="0"/>
                <w:color w:val="000000"/>
                <w:sz w:val="18"/>
              </w:rPr>
              <w:t xml:space="preserve">1,281.11</w:t>
            </w:r>
          </w:p>
        </w:tc>
        <w:tc>
          <w:tcPr>
            <w:tcW w:w="1772" w:type="dxa"/>
            <w:tcBorders/>
            <w:vAlign w:val="center"/>
          </w:tcPr>
          <w:p>
            <w:pPr>
              <w:jc w:val="right"/>
            </w:pPr>
            <w:r>
              <w:rPr>
                <w:rFonts w:ascii="宋体" w:eastAsia="宋体" w:hAnsi="宋体" w:cs="宋体"/>
                <w:b/>
                <w:i w:val="0"/>
                <w:color w:val="000000"/>
                <w:sz w:val="18"/>
              </w:rPr>
              <w:t xml:space="preserve">657.16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1,926.75</w:t>
            </w:r>
          </w:p>
        </w:tc>
        <w:tc>
          <w:tcPr>
            <w:tcW w:w="1780" w:type="dxa"/>
            <w:tcBorders/>
            <w:vAlign w:val="center"/>
          </w:tcPr>
          <w:p>
            <w:pPr>
              <w:jc w:val="right"/>
            </w:pPr>
            <w:r>
              <w:rPr>
                <w:rFonts w:ascii="宋体" w:eastAsia="宋体" w:hAnsi="宋体" w:cs="宋体"/>
                <w:b w:val="0"/>
                <w:i w:val="0"/>
                <w:color w:val="000000"/>
                <w:sz w:val="18"/>
              </w:rPr>
              <w:t xml:space="preserve">1,269.58</w:t>
            </w:r>
          </w:p>
        </w:tc>
        <w:tc>
          <w:tcPr>
            <w:tcW w:w="1772" w:type="dxa"/>
            <w:tcBorders/>
            <w:vAlign w:val="center"/>
          </w:tcPr>
          <w:p>
            <w:pPr>
              <w:jc w:val="right"/>
            </w:pPr>
            <w:r>
              <w:rPr>
                <w:rFonts w:ascii="宋体" w:eastAsia="宋体" w:hAnsi="宋体" w:cs="宋体"/>
                <w:b w:val="0"/>
                <w:i w:val="0"/>
                <w:color w:val="000000"/>
                <w:sz w:val="18"/>
              </w:rPr>
              <w:t xml:space="preserve">657.17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1,917.53</w:t>
            </w:r>
          </w:p>
        </w:tc>
        <w:tc>
          <w:tcPr>
            <w:tcW w:w="1780" w:type="dxa"/>
            <w:tcBorders/>
            <w:vAlign w:val="center"/>
          </w:tcPr>
          <w:p>
            <w:pPr>
              <w:jc w:val="right"/>
            </w:pPr>
            <w:r>
              <w:rPr>
                <w:rFonts w:ascii="宋体" w:eastAsia="宋体" w:hAnsi="宋体" w:cs="宋体"/>
                <w:b w:val="0"/>
                <w:i w:val="0"/>
                <w:color w:val="000000"/>
                <w:sz w:val="18"/>
              </w:rPr>
              <w:t xml:space="preserve">1,269.58</w:t>
            </w:r>
          </w:p>
        </w:tc>
        <w:tc>
          <w:tcPr>
            <w:tcW w:w="1772" w:type="dxa"/>
            <w:tcBorders/>
            <w:vAlign w:val="center"/>
          </w:tcPr>
          <w:p>
            <w:pPr>
              <w:jc w:val="right"/>
            </w:pPr>
            <w:r>
              <w:rPr>
                <w:rFonts w:ascii="宋体" w:eastAsia="宋体" w:hAnsi="宋体" w:cs="宋体"/>
                <w:b w:val="0"/>
                <w:i w:val="0"/>
                <w:color w:val="000000"/>
                <w:sz w:val="18"/>
              </w:rPr>
              <w:t xml:space="preserve">647.95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2050203</w:t>
            </w:r>
          </w:p>
        </w:tc>
        <w:tc>
          <w:tcPr>
            <w:tcW w:w="4300" w:type="dxa"/>
            <w:tcBorders/>
            <w:vAlign w:val="center"/>
          </w:tcPr>
          <w:p>
            <w:pPr>
              <w:jc w:val="left"/>
            </w:pPr>
            <w:r>
              <w:rPr>
                <w:rFonts w:ascii="宋体" w:eastAsia="宋体" w:hAnsi="宋体" w:cs="宋体"/>
                <w:b w:val="0"/>
                <w:i w:val="0"/>
                <w:color w:val="000000"/>
                <w:sz w:val="18"/>
              </w:rPr>
              <w:t xml:space="preserve">初中教育</w:t>
            </w:r>
          </w:p>
        </w:tc>
        <w:tc>
          <w:tcPr>
            <w:tcW w:w="1780" w:type="dxa"/>
            <w:tcBorders/>
            <w:vAlign w:val="center"/>
          </w:tcPr>
          <w:p>
            <w:pPr>
              <w:jc w:val="right"/>
            </w:pPr>
            <w:r>
              <w:rPr>
                <w:rFonts w:ascii="宋体" w:eastAsia="宋体" w:hAnsi="宋体" w:cs="宋体"/>
                <w:b w:val="0"/>
                <w:i w:val="0"/>
                <w:color w:val="000000"/>
                <w:sz w:val="18"/>
              </w:rPr>
              <w:t xml:space="preserve">1,917.53</w:t>
            </w:r>
          </w:p>
        </w:tc>
        <w:tc>
          <w:tcPr>
            <w:tcW w:w="1780" w:type="dxa"/>
            <w:tcBorders/>
            <w:vAlign w:val="center"/>
          </w:tcPr>
          <w:p>
            <w:pPr>
              <w:jc w:val="right"/>
            </w:pPr>
            <w:r>
              <w:rPr>
                <w:rFonts w:ascii="宋体" w:eastAsia="宋体" w:hAnsi="宋体" w:cs="宋体"/>
                <w:b w:val="0"/>
                <w:i w:val="0"/>
                <w:color w:val="000000"/>
                <w:sz w:val="18"/>
              </w:rPr>
              <w:t xml:space="preserve">1,269.58</w:t>
            </w:r>
          </w:p>
        </w:tc>
        <w:tc>
          <w:tcPr>
            <w:tcW w:w="1772" w:type="dxa"/>
            <w:tcBorders/>
            <w:vAlign w:val="center"/>
          </w:tcPr>
          <w:p>
            <w:pPr>
              <w:jc w:val="right"/>
            </w:pPr>
            <w:r>
              <w:rPr>
                <w:rFonts w:ascii="宋体" w:eastAsia="宋体" w:hAnsi="宋体" w:cs="宋体"/>
                <w:b w:val="0"/>
                <w:i w:val="0"/>
                <w:color w:val="000000"/>
                <w:sz w:val="18"/>
              </w:rPr>
              <w:t xml:space="preserve">647.95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9.22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9.22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9.22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9.22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11.52</w:t>
            </w:r>
          </w:p>
        </w:tc>
        <w:tc>
          <w:tcPr>
            <w:tcW w:w="1780" w:type="dxa"/>
            <w:tcBorders/>
            <w:vAlign w:val="center"/>
          </w:tcPr>
          <w:p>
            <w:pPr>
              <w:jc w:val="right"/>
            </w:pPr>
            <w:r>
              <w:rPr>
                <w:rFonts w:ascii="宋体" w:eastAsia="宋体" w:hAnsi="宋体" w:cs="宋体"/>
                <w:b w:val="0"/>
                <w:i w:val="0"/>
                <w:color w:val="000000"/>
                <w:sz w:val="18"/>
              </w:rPr>
              <w:t xml:space="preserve">11.52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11.52</w:t>
            </w:r>
          </w:p>
        </w:tc>
        <w:tc>
          <w:tcPr>
            <w:tcW w:w="1780" w:type="dxa"/>
            <w:tcBorders/>
            <w:vAlign w:val="center"/>
          </w:tcPr>
          <w:p>
            <w:pPr>
              <w:jc w:val="right"/>
            </w:pPr>
            <w:r>
              <w:rPr>
                <w:rFonts w:ascii="宋体" w:eastAsia="宋体" w:hAnsi="宋体" w:cs="宋体"/>
                <w:b w:val="0"/>
                <w:i w:val="0"/>
                <w:color w:val="000000"/>
                <w:sz w:val="18"/>
              </w:rPr>
              <w:t xml:space="preserve">11.52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0.36</w:t>
            </w:r>
          </w:p>
        </w:tc>
        <w:tc>
          <w:tcPr>
            <w:tcW w:w="1780" w:type="dxa"/>
            <w:tcBorders/>
            <w:vAlign w:val="center"/>
          </w:tcPr>
          <w:p>
            <w:pPr>
              <w:jc w:val="right"/>
            </w:pPr>
            <w:r>
              <w:rPr>
                <w:rFonts w:ascii="宋体" w:eastAsia="宋体" w:hAnsi="宋体" w:cs="宋体"/>
                <w:b w:val="0"/>
                <w:i w:val="0"/>
                <w:color w:val="000000"/>
                <w:sz w:val="18"/>
              </w:rPr>
              <w:t xml:space="preserve">0.36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11.16</w:t>
            </w:r>
          </w:p>
        </w:tc>
        <w:tc>
          <w:tcPr>
            <w:tcW w:w="1780" w:type="dxa"/>
            <w:tcBorders/>
            <w:vAlign w:val="center"/>
          </w:tcPr>
          <w:p>
            <w:pPr>
              <w:jc w:val="right"/>
            </w:pPr>
            <w:r>
              <w:rPr>
                <w:rFonts w:ascii="宋体" w:eastAsia="宋体" w:hAnsi="宋体" w:cs="宋体"/>
                <w:b w:val="0"/>
                <w:i w:val="0"/>
                <w:color w:val="000000"/>
                <w:sz w:val="18"/>
              </w:rPr>
              <w:t xml:space="preserve">11.16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单位：辽宁省沈阳市北京师范大学沈阳附属学校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1,250.15</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30.59</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443.48</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13.67</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163.39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32.87</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12.91</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328.96</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0.38</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167.47</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11.16</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86.25</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jc w:val="right"/>
            </w:pPr>
            <w:r>
              <w:rPr>
                <w:rFonts w:ascii="宋体" w:eastAsia="宋体" w:hAnsi="宋体" w:cs="宋体"/>
                <w:b w:val="0"/>
                <w:i w:val="0"/>
                <w:color w:val="000000"/>
                <w:sz w:val="14"/>
              </w:rPr>
              <w:t xml:space="preserve">2.00</w:t>
            </w: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3.66</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0.59</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1.33</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jc w:val="right"/>
            </w:pPr>
            <w:r>
              <w:rPr>
                <w:rFonts w:ascii="宋体" w:eastAsia="宋体" w:hAnsi="宋体" w:cs="宋体"/>
                <w:b w:val="0"/>
                <w:i w:val="0"/>
                <w:color w:val="000000"/>
                <w:sz w:val="14"/>
              </w:rPr>
              <w:t xml:space="preserve">0.32</w:t>
            </w: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0.36</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0.36</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12.31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1,250.51</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30.59</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单位：辽宁省沈阳市北京师范大学沈阳附属学校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单位：辽宁省沈阳市北京师范大学沈阳附属学校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单位：辽宁省沈阳市北京师范大学沈阳附属学校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023030北京师范大学沈阳附属学校-210112000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1674.25</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1674.25</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1204.13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1204.13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46.38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46.38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贯彻中央财政工作金融工作的方针政策，履行职责过程中坚持和加强党对财政工作和金融工作的集中统一领导。</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依据资金下达使用要求按时足额完成支付任务。</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数据利用率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发放补助对象满意度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科技服务群众总体满意度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完善巡视巡察上下联动工作格局</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高效完成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多部门协同联动</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规范管理</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办公楼维修维护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北京师范大学沈阳附属学校-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河区文富北路有教工住宅，教育局负责房屋维修与污水处理如不及时处理居民就上访。共计50万元对浑南区内剩余五所无结构图纸学校（沈阳市朝鲜族学校、沈阳市浑南区第一中学、沈阳市浑南区望滨小学、沈阳市王滨希望学校、浑南区第四中学）建筑进行图纸恢复、质量安全检测等工作，共涉及建筑面积约6万平方米。2019年为贯彻落实《沈阳市加强校园及周边安全管理专项整治方案》要求，浑南区教育局对全区中小学校房屋进行质量安全检测。经检测，白塔小学教学楼工程安全性鉴定评定等级为Csu级，安全性不符合《民用建筑可靠性鉴定标准》(GB50292-2015)对Asu级的规定，显著影响整体承载，需进一步检测问题原因，针对性形成结构加固设计方案。目前已完成安全性鉴定。2019年为贯彻落实《沈阳市加强校园及周边安全管理专项整治方案》要求，浑南区教育局对全区中小学校房屋进行质量安全检测。经检测，白塔小学教学楼工程安全性鉴定评定等级为Csu级，安全性不符合《民用建筑可靠性鉴定标准》(GB50292-2015)对Asu级的规定，显著影响整体承载，需进一步检测问题原因，针对性形成结构加固设计方案。目前已完成结构加固设计。此项目于2019年7月招标，2020年8月完工，按合同约定，待完成结算后可履行付款流程，合同额473.6万元，另有签证单金额约20万元。实验中学硬覆盖维修改造工程等23所学校校舍维修改造工程</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依据资金下达使用要求按时足额完成支付任务。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北京师范大学沈阳附属学校-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161.31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161.31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依据资金下达使用要求按时足额完成支付任务。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教育教学经费-2024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北京师范大学沈阳附属学校-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已按指标下达金额全额执行。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北京师范大学沈阳附属学校-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按下拨资金使用依据足额及时完成支付任务。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北京师范大学沈阳附属学校-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19.53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依据资金下达使用要求按时足额完成支付任务。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北京师范大学沈阳附属学校-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依据资金下达使用要求按时足额完成支付任务。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专用设备购置-2024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北京师范大学沈阳附属学校-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国家、省、市各部门相关规定，根据区教育局工作安排，结合学校实际需求，为全力保障各类教育教学任务顺利开展，各级各类学校平稳运行，开展了一系列采购项目及工程维修项目，严格按照招标流程进行公开招标，并委托专业机构进行验收，形成完成了验收材料，并依据合同约定，按照项目进展情况进行资金申请及拨付，及时足额使用项目资金，合同统一通过法审，并做好档案管理工作，充分发挥资金使用效益，积极配合各部门检查及巡视工作。项目实施有必要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依据资金下达使用要求按时足额完成支付任务。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