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辽宁省沈阳建筑大学附属中学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辽宁省沈阳建筑大学附属中学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辽宁省沈阳建筑大学附属中学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辽宁省沈阳建筑大学附属中学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辽宁省沈阳建筑大学附属中学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辽宁省沈阳建筑大学附属中学概况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（一）贯彻执行四项基本原则和党的教育方针，以及其他各项方针、政策。</w:t>
        <w:br/>
        <w:t xml:space="preserve">    （二）坚持以教学为中心，努力提高教学质量，不断研究和改进教学方法，不断提高教学水平。</w:t>
        <w:br/>
        <w:t xml:space="preserve">    （三）加强师资队伍建设，不断提高师资队伍素质。</w:t>
        <w:br/>
        <w:t xml:space="preserve">    （四）组织编制和实施学校的长期规划、年度计划和学期计划。</w:t>
        <w:br/>
        <w:t xml:space="preserve">    （五）组织领导招生、学生的入学和毕业鉴定工作。</w:t>
        <w:br/>
        <w:t xml:space="preserve">    （六）组织做好教职工的培养、考核、奖惩、工资福利、职称评定，以及离、退休教师等工作。</w:t>
        <w:br/>
        <w:t xml:space="preserve">    （七）组织领导做好行政后勤工作，坚持为教学服务，不断改善师生员工的工作、学习、生活条件，保证教学工作的顺利进行。</w:t>
        <w:br/>
        <w:t xml:space="preserve">    （八）贯彻执行勤俭办校的方针，建立健全各项规章制度，加强对学校的管理。</w:t>
        <w:br/>
        <w:t xml:space="preserve">    （九）完成上级领导机关布置的其他任务。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辽宁省沈阳建筑大学附属中学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本单位是纳入浑南区教育局2024年决算编制范围的二级预算单位，本单位无下设机构。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2482.89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2469.91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99.48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2469.91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11.35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主要是区教育局专户拨入的考务费、学生储物柜设备款等收入。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1.63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主要是教育局转2021年教育事业发展捐赠结余款等。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减少106.11万元，降低4.10%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学生减少，收入减少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2482.86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1716.41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69.13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工资福利支出1643.84万元；商品和服务支出17.95万元；对个人和家庭的补助54.62万元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766.45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30.87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主要包括商品和服务支出、对个人和家庭的补助、资本性支出等业务支出。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减少104.51万元，降低4.04%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基本支出减少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主要是教育局转2021年教育事业发展捐赠结余款等原因形成的结余。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减少1.60万元，降低98.16%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部分教育局转2021年教育事业发展捐赠结余款已支出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2469.91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1716.41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753.50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减少14.91万元，降低0.60%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基本支出中商品和服务支出减少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134.56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93.51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2024年度一般公共预算财政拨款支出2469.91万元。按支出功能分类科目分，包括：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1.教育支出2441.10万元，具体包括：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（1）教育支出（类）普通教育（款）学前教育（项）376.61万元,主要是用于幼儿园办公费、维修费、水电费等支出，完成年初预算的100%，决算数与年初预算数存在差异的主要原因是按实际情况支付。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初中教育（项）1978.34万元,主要是工资福利支出、商品和服务支出、对个人和家庭的补助、资本性支出等支出，完成年初预算的107.78%，决算数与年初预算数存在差异的主要原因是完全按照预算执行，决算数与预算数实际上无任何差异，此项教育支出中包含社会保障和就业支出中的保险部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（3）教育支出（类）教育费附加安排的支出（款）其他教育费附加安排的支出（项）86.15万元,主要是商品和服务支出等支出，完成年初预算的100%，决算数与年初预算数存在差异的主要原因是按实际情况支付。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2.社会保障和就业支出28.80万元，具体包括：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11.52万元,主要是商品和服务支出、对个人和家庭的补助等支出，完成年初预算的78.2%，决算数与年初预算数存在差异的主要原因是退休人员活动经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17.28万元,主要是工资福利等支出，完成年初预算的100%，决算数与年初预算数存在差异的主要原因是按实际情况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均无出国任务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1716.41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1698.46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17.95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，其他用车主要是办公用车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组织对1个单位开展整体绩效自评，涉及资金1835.57万元。自评平均分100.00分。附《部门（单位）整体绩效自评表》。</w:t>
        <w:br/>
        <w:t xml:space="preserve">    2.项目绩效自评情况及结果。</w:t>
        <w:br/>
        <w:t xml:space="preserve">    2024年本部门不涉及项目绩效自评。</w:t>
        <w:br/>
        <w:t xml:space="preserve">    3.部门重点评价情况及结果。</w:t>
        <w:br/>
        <w:t xml:space="preserve">    我部门组织对“基本支出公用经费（保基本民生）”“基本支出人员经费（刚性）”等2个项目开展了部门重点评价，涉及资金97.82万元（其中：一般公共预算资金97.82万元，政府性基金预算资金0万元，国有资本经营预算资金0万元）。通过部门绩效评价发现主要存在以下问题：部分资金使用低效。下一步将采取以下措施加以改进：进一步加强管理，提高资金使用效率。</w:t>
        <w:br/>
        <w:t xml:space="preserve">    4.财政重点评价情况及结果。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16、教育支出（类）普通教育（款）初中教育（项）：反映各部门举办的初中教育支出。政府各部门对社会组织等举办的初中的资助，如捐赠、补助等。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2,469.91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2,454.06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11.35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28.80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2,481.26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2,482.86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1.63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0.03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2,482.89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2,482.89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2,481.26</w:t>
            </w:r>
          </w:p>
        </w:tc>
        <w:tc>
          <w:tcPr>
            <w:tcW w:w="960" w:type="dxa"/>
            <w:tcBorders/>
            <w:vAlign w:val="center"/>
          </w:tcPr>
          <w:p>
            <w:pPr>
              <w:jc w:val="right"/>
            </w:pPr>
            <w:r>
              <w:rPr>
                <w:rFonts w:ascii="宋体" w:eastAsia="宋体" w:hAnsi="宋体" w:cs="宋体"/>
                <w:b/>
                <w:i w:val="0"/>
                <w:color w:val="000000"/>
                <w:sz w:val="13"/>
              </w:rPr>
              <w:t xml:space="preserve">2,469.91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11.35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2,452.45</w:t>
            </w:r>
          </w:p>
        </w:tc>
        <w:tc>
          <w:tcPr>
            <w:tcW w:w="960" w:type="dxa"/>
            <w:tcBorders/>
            <w:vAlign w:val="center"/>
          </w:tcPr>
          <w:p>
            <w:pPr>
              <w:jc w:val="right"/>
            </w:pPr>
            <w:r>
              <w:rPr>
                <w:rFonts w:ascii="宋体" w:eastAsia="宋体" w:hAnsi="宋体" w:cs="宋体"/>
                <w:b w:val="0"/>
                <w:i w:val="0"/>
                <w:color w:val="000000"/>
                <w:sz w:val="13"/>
              </w:rPr>
              <w:t xml:space="preserve">2,441.10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11.35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2,366.30</w:t>
            </w:r>
          </w:p>
        </w:tc>
        <w:tc>
          <w:tcPr>
            <w:tcW w:w="960" w:type="dxa"/>
            <w:tcBorders/>
            <w:vAlign w:val="center"/>
          </w:tcPr>
          <w:p>
            <w:pPr>
              <w:jc w:val="right"/>
            </w:pPr>
            <w:r>
              <w:rPr>
                <w:rFonts w:ascii="宋体" w:eastAsia="宋体" w:hAnsi="宋体" w:cs="宋体"/>
                <w:b w:val="0"/>
                <w:i w:val="0"/>
                <w:color w:val="000000"/>
                <w:sz w:val="13"/>
              </w:rPr>
              <w:t xml:space="preserve">2,354.95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11.35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376.61</w:t>
            </w:r>
          </w:p>
        </w:tc>
        <w:tc>
          <w:tcPr>
            <w:tcW w:w="960" w:type="dxa"/>
            <w:tcBorders/>
            <w:vAlign w:val="center"/>
          </w:tcPr>
          <w:p>
            <w:pPr>
              <w:jc w:val="right"/>
            </w:pPr>
            <w:r>
              <w:rPr>
                <w:rFonts w:ascii="宋体" w:eastAsia="宋体" w:hAnsi="宋体" w:cs="宋体"/>
                <w:b w:val="0"/>
                <w:i w:val="0"/>
                <w:color w:val="000000"/>
                <w:sz w:val="13"/>
              </w:rPr>
              <w:t xml:space="preserve">376.61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1,978.34</w:t>
            </w:r>
          </w:p>
        </w:tc>
        <w:tc>
          <w:tcPr>
            <w:tcW w:w="960" w:type="dxa"/>
            <w:tcBorders/>
            <w:vAlign w:val="center"/>
          </w:tcPr>
          <w:p>
            <w:pPr>
              <w:jc w:val="right"/>
            </w:pPr>
            <w:r>
              <w:rPr>
                <w:rFonts w:ascii="宋体" w:eastAsia="宋体" w:hAnsi="宋体" w:cs="宋体"/>
                <w:b w:val="0"/>
                <w:i w:val="0"/>
                <w:color w:val="000000"/>
                <w:sz w:val="13"/>
              </w:rPr>
              <w:t xml:space="preserve">1,978.34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11.35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86.15</w:t>
            </w:r>
          </w:p>
        </w:tc>
        <w:tc>
          <w:tcPr>
            <w:tcW w:w="960" w:type="dxa"/>
            <w:tcBorders/>
            <w:vAlign w:val="center"/>
          </w:tcPr>
          <w:p>
            <w:pPr>
              <w:jc w:val="right"/>
            </w:pPr>
            <w:r>
              <w:rPr>
                <w:rFonts w:ascii="宋体" w:eastAsia="宋体" w:hAnsi="宋体" w:cs="宋体"/>
                <w:b w:val="0"/>
                <w:i w:val="0"/>
                <w:color w:val="000000"/>
                <w:sz w:val="13"/>
              </w:rPr>
              <w:t xml:space="preserve">86.15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86.15</w:t>
            </w:r>
          </w:p>
        </w:tc>
        <w:tc>
          <w:tcPr>
            <w:tcW w:w="960" w:type="dxa"/>
            <w:tcBorders/>
            <w:vAlign w:val="center"/>
          </w:tcPr>
          <w:p>
            <w:pPr>
              <w:jc w:val="right"/>
            </w:pPr>
            <w:r>
              <w:rPr>
                <w:rFonts w:ascii="宋体" w:eastAsia="宋体" w:hAnsi="宋体" w:cs="宋体"/>
                <w:b w:val="0"/>
                <w:i w:val="0"/>
                <w:color w:val="000000"/>
                <w:sz w:val="13"/>
              </w:rPr>
              <w:t xml:space="preserve">86.15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11.52</w:t>
            </w:r>
          </w:p>
        </w:tc>
        <w:tc>
          <w:tcPr>
            <w:tcW w:w="960" w:type="dxa"/>
            <w:tcBorders/>
            <w:vAlign w:val="center"/>
          </w:tcPr>
          <w:p>
            <w:pPr>
              <w:jc w:val="right"/>
            </w:pPr>
            <w:r>
              <w:rPr>
                <w:rFonts w:ascii="宋体" w:eastAsia="宋体" w:hAnsi="宋体" w:cs="宋体"/>
                <w:b w:val="0"/>
                <w:i w:val="0"/>
                <w:color w:val="000000"/>
                <w:sz w:val="13"/>
              </w:rPr>
              <w:t xml:space="preserve">11.52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17.28</w:t>
            </w:r>
          </w:p>
        </w:tc>
        <w:tc>
          <w:tcPr>
            <w:tcW w:w="960" w:type="dxa"/>
            <w:tcBorders/>
            <w:vAlign w:val="center"/>
          </w:tcPr>
          <w:p>
            <w:pPr>
              <w:jc w:val="right"/>
            </w:pPr>
            <w:r>
              <w:rPr>
                <w:rFonts w:ascii="宋体" w:eastAsia="宋体" w:hAnsi="宋体" w:cs="宋体"/>
                <w:b w:val="0"/>
                <w:i w:val="0"/>
                <w:color w:val="000000"/>
                <w:sz w:val="13"/>
              </w:rPr>
              <w:t xml:space="preserve">17.28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2,482.86</w:t>
            </w:r>
          </w:p>
        </w:tc>
        <w:tc>
          <w:tcPr>
            <w:tcW w:w="1060" w:type="dxa"/>
            <w:tcBorders/>
            <w:vAlign w:val="center"/>
          </w:tcPr>
          <w:p>
            <w:pPr>
              <w:jc w:val="right"/>
            </w:pPr>
            <w:r>
              <w:rPr>
                <w:rFonts w:ascii="宋体" w:eastAsia="宋体" w:hAnsi="宋体" w:cs="宋体"/>
                <w:b/>
                <w:i w:val="0"/>
                <w:color w:val="000000"/>
                <w:sz w:val="14"/>
              </w:rPr>
              <w:t xml:space="preserve">1,716.41</w:t>
            </w:r>
          </w:p>
        </w:tc>
        <w:tc>
          <w:tcPr>
            <w:tcW w:w="1060" w:type="dxa"/>
            <w:tcBorders/>
            <w:vAlign w:val="center"/>
          </w:tcPr>
          <w:p>
            <w:pPr>
              <w:jc w:val="right"/>
            </w:pPr>
            <w:r>
              <w:rPr>
                <w:rFonts w:ascii="宋体" w:eastAsia="宋体" w:hAnsi="宋体" w:cs="宋体"/>
                <w:b/>
                <w:i w:val="0"/>
                <w:color w:val="000000"/>
                <w:sz w:val="14"/>
              </w:rPr>
              <w:t xml:space="preserve">766.45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2,454.05</w:t>
            </w:r>
          </w:p>
        </w:tc>
        <w:tc>
          <w:tcPr>
            <w:tcW w:w="1060" w:type="dxa"/>
            <w:tcBorders/>
            <w:vAlign w:val="center"/>
          </w:tcPr>
          <w:p>
            <w:pPr>
              <w:jc w:val="right"/>
            </w:pPr>
            <w:r>
              <w:rPr>
                <w:rFonts w:ascii="宋体" w:eastAsia="宋体" w:hAnsi="宋体" w:cs="宋体"/>
                <w:b w:val="0"/>
                <w:i w:val="0"/>
                <w:color w:val="000000"/>
                <w:sz w:val="14"/>
              </w:rPr>
              <w:t xml:space="preserve">1,687.61</w:t>
            </w:r>
          </w:p>
        </w:tc>
        <w:tc>
          <w:tcPr>
            <w:tcW w:w="1060" w:type="dxa"/>
            <w:tcBorders/>
            <w:vAlign w:val="center"/>
          </w:tcPr>
          <w:p>
            <w:pPr>
              <w:jc w:val="right"/>
            </w:pPr>
            <w:r>
              <w:rPr>
                <w:rFonts w:ascii="宋体" w:eastAsia="宋体" w:hAnsi="宋体" w:cs="宋体"/>
                <w:b w:val="0"/>
                <w:i w:val="0"/>
                <w:color w:val="000000"/>
                <w:sz w:val="14"/>
              </w:rPr>
              <w:t xml:space="preserve">766.44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2,367.90</w:t>
            </w:r>
          </w:p>
        </w:tc>
        <w:tc>
          <w:tcPr>
            <w:tcW w:w="1060" w:type="dxa"/>
            <w:tcBorders/>
            <w:vAlign w:val="center"/>
          </w:tcPr>
          <w:p>
            <w:pPr>
              <w:jc w:val="right"/>
            </w:pPr>
            <w:r>
              <w:rPr>
                <w:rFonts w:ascii="宋体" w:eastAsia="宋体" w:hAnsi="宋体" w:cs="宋体"/>
                <w:b w:val="0"/>
                <w:i w:val="0"/>
                <w:color w:val="000000"/>
                <w:sz w:val="14"/>
              </w:rPr>
              <w:t xml:space="preserve">1,687.61</w:t>
            </w:r>
          </w:p>
        </w:tc>
        <w:tc>
          <w:tcPr>
            <w:tcW w:w="1060" w:type="dxa"/>
            <w:tcBorders/>
            <w:vAlign w:val="center"/>
          </w:tcPr>
          <w:p>
            <w:pPr>
              <w:jc w:val="right"/>
            </w:pPr>
            <w:r>
              <w:rPr>
                <w:rFonts w:ascii="宋体" w:eastAsia="宋体" w:hAnsi="宋体" w:cs="宋体"/>
                <w:b w:val="0"/>
                <w:i w:val="0"/>
                <w:color w:val="000000"/>
                <w:sz w:val="14"/>
              </w:rPr>
              <w:t xml:space="preserve">680.29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376.61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376.61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1,978.34</w:t>
            </w:r>
          </w:p>
        </w:tc>
        <w:tc>
          <w:tcPr>
            <w:tcW w:w="1060" w:type="dxa"/>
            <w:tcBorders/>
            <w:vAlign w:val="center"/>
          </w:tcPr>
          <w:p>
            <w:pPr>
              <w:jc w:val="right"/>
            </w:pPr>
            <w:r>
              <w:rPr>
                <w:rFonts w:ascii="宋体" w:eastAsia="宋体" w:hAnsi="宋体" w:cs="宋体"/>
                <w:b w:val="0"/>
                <w:i w:val="0"/>
                <w:color w:val="000000"/>
                <w:sz w:val="14"/>
              </w:rPr>
              <w:t xml:space="preserve">1,687.61</w:t>
            </w:r>
          </w:p>
        </w:tc>
        <w:tc>
          <w:tcPr>
            <w:tcW w:w="1060" w:type="dxa"/>
            <w:tcBorders/>
            <w:vAlign w:val="center"/>
          </w:tcPr>
          <w:p>
            <w:pPr>
              <w:jc w:val="right"/>
            </w:pPr>
            <w:r>
              <w:rPr>
                <w:rFonts w:ascii="宋体" w:eastAsia="宋体" w:hAnsi="宋体" w:cs="宋体"/>
                <w:b w:val="0"/>
                <w:i w:val="0"/>
                <w:color w:val="000000"/>
                <w:sz w:val="14"/>
              </w:rPr>
              <w:t xml:space="preserve">290.73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12.95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86.15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86.15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86.15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86.15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11.52</w:t>
            </w:r>
          </w:p>
        </w:tc>
        <w:tc>
          <w:tcPr>
            <w:tcW w:w="1060" w:type="dxa"/>
            <w:tcBorders/>
            <w:vAlign w:val="center"/>
          </w:tcPr>
          <w:p>
            <w:pPr>
              <w:jc w:val="right"/>
            </w:pPr>
            <w:r>
              <w:rPr>
                <w:rFonts w:ascii="宋体" w:eastAsia="宋体" w:hAnsi="宋体" w:cs="宋体"/>
                <w:b w:val="0"/>
                <w:i w:val="0"/>
                <w:color w:val="000000"/>
                <w:sz w:val="14"/>
              </w:rPr>
              <w:t xml:space="preserve">11.52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17.28</w:t>
            </w:r>
          </w:p>
        </w:tc>
        <w:tc>
          <w:tcPr>
            <w:tcW w:w="1060" w:type="dxa"/>
            <w:tcBorders/>
            <w:vAlign w:val="center"/>
          </w:tcPr>
          <w:p>
            <w:pPr>
              <w:jc w:val="right"/>
            </w:pPr>
            <w:r>
              <w:rPr>
                <w:rFonts w:ascii="宋体" w:eastAsia="宋体" w:hAnsi="宋体" w:cs="宋体"/>
                <w:b w:val="0"/>
                <w:i w:val="0"/>
                <w:color w:val="000000"/>
                <w:sz w:val="14"/>
              </w:rPr>
              <w:t xml:space="preserve">17.28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2,441.11</w:t>
            </w:r>
          </w:p>
        </w:tc>
        <w:tc>
          <w:tcPr>
            <w:tcW w:w="1100" w:type="dxa"/>
            <w:tcBorders/>
            <w:vAlign w:val="center"/>
          </w:tcPr>
          <w:p>
            <w:pPr>
              <w:jc w:val="right"/>
            </w:pPr>
            <w:r>
              <w:rPr>
                <w:rFonts w:ascii="宋体" w:eastAsia="宋体" w:hAnsi="宋体" w:cs="宋体"/>
                <w:b w:val="0"/>
                <w:i w:val="0"/>
                <w:color w:val="000000"/>
                <w:sz w:val="14"/>
              </w:rPr>
              <w:t xml:space="preserve">2,441.11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28.80</w:t>
            </w:r>
          </w:p>
        </w:tc>
        <w:tc>
          <w:tcPr>
            <w:tcW w:w="1100" w:type="dxa"/>
            <w:tcBorders/>
            <w:vAlign w:val="center"/>
          </w:tcPr>
          <w:p>
            <w:pPr>
              <w:jc w:val="right"/>
            </w:pPr>
            <w:r>
              <w:rPr>
                <w:rFonts w:ascii="宋体" w:eastAsia="宋体" w:hAnsi="宋体" w:cs="宋体"/>
                <w:b w:val="0"/>
                <w:i w:val="0"/>
                <w:color w:val="000000"/>
                <w:sz w:val="14"/>
              </w:rPr>
              <w:t xml:space="preserve">28.80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1100" w:type="dxa"/>
            <w:tcBorders/>
            <w:vAlign w:val="center"/>
          </w:tcPr>
          <w:p>
            <w:pPr>
              <w:jc w:val="right"/>
            </w:pPr>
            <w:r>
              <w:rPr>
                <w:rFonts w:ascii="宋体" w:eastAsia="宋体" w:hAnsi="宋体" w:cs="宋体"/>
                <w:b w:val="0"/>
                <w:i w:val="0"/>
                <w:color w:val="000000"/>
                <w:sz w:val="14"/>
              </w:rPr>
              <w:t xml:space="preserve">2,469.91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2,469.91</w:t>
            </w:r>
          </w:p>
        </w:tc>
        <w:tc>
          <w:tcPr>
            <w:tcW w:w="1780" w:type="dxa"/>
            <w:tcBorders/>
            <w:vAlign w:val="center"/>
          </w:tcPr>
          <w:p>
            <w:pPr>
              <w:jc w:val="right"/>
            </w:pPr>
            <w:r>
              <w:rPr>
                <w:rFonts w:ascii="宋体" w:eastAsia="宋体" w:hAnsi="宋体" w:cs="宋体"/>
                <w:b/>
                <w:i w:val="0"/>
                <w:color w:val="000000"/>
                <w:sz w:val="18"/>
              </w:rPr>
              <w:t xml:space="preserve">1,716.41</w:t>
            </w:r>
          </w:p>
        </w:tc>
        <w:tc>
          <w:tcPr>
            <w:tcW w:w="1772" w:type="dxa"/>
            <w:tcBorders/>
            <w:vAlign w:val="center"/>
          </w:tcPr>
          <w:p>
            <w:pPr>
              <w:jc w:val="right"/>
            </w:pPr>
            <w:r>
              <w:rPr>
                <w:rFonts w:ascii="宋体" w:eastAsia="宋体" w:hAnsi="宋体" w:cs="宋体"/>
                <w:b/>
                <w:i w:val="0"/>
                <w:color w:val="000000"/>
                <w:sz w:val="18"/>
              </w:rPr>
              <w:t xml:space="preserve">753.50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2,441.10</w:t>
            </w:r>
          </w:p>
        </w:tc>
        <w:tc>
          <w:tcPr>
            <w:tcW w:w="1780" w:type="dxa"/>
            <w:tcBorders/>
            <w:vAlign w:val="center"/>
          </w:tcPr>
          <w:p>
            <w:pPr>
              <w:jc w:val="right"/>
            </w:pPr>
            <w:r>
              <w:rPr>
                <w:rFonts w:ascii="宋体" w:eastAsia="宋体" w:hAnsi="宋体" w:cs="宋体"/>
                <w:b w:val="0"/>
                <w:i w:val="0"/>
                <w:color w:val="000000"/>
                <w:sz w:val="18"/>
              </w:rPr>
              <w:t xml:space="preserve">1,687.61</w:t>
            </w:r>
          </w:p>
        </w:tc>
        <w:tc>
          <w:tcPr>
            <w:tcW w:w="1772" w:type="dxa"/>
            <w:tcBorders/>
            <w:vAlign w:val="center"/>
          </w:tcPr>
          <w:p>
            <w:pPr>
              <w:jc w:val="right"/>
            </w:pPr>
            <w:r>
              <w:rPr>
                <w:rFonts w:ascii="宋体" w:eastAsia="宋体" w:hAnsi="宋体" w:cs="宋体"/>
                <w:b w:val="0"/>
                <w:i w:val="0"/>
                <w:color w:val="000000"/>
                <w:sz w:val="18"/>
              </w:rPr>
              <w:t xml:space="preserve">753.49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2,354.95</w:t>
            </w:r>
          </w:p>
        </w:tc>
        <w:tc>
          <w:tcPr>
            <w:tcW w:w="1780" w:type="dxa"/>
            <w:tcBorders/>
            <w:vAlign w:val="center"/>
          </w:tcPr>
          <w:p>
            <w:pPr>
              <w:jc w:val="right"/>
            </w:pPr>
            <w:r>
              <w:rPr>
                <w:rFonts w:ascii="宋体" w:eastAsia="宋体" w:hAnsi="宋体" w:cs="宋体"/>
                <w:b w:val="0"/>
                <w:i w:val="0"/>
                <w:color w:val="000000"/>
                <w:sz w:val="18"/>
              </w:rPr>
              <w:t xml:space="preserve">1,687.61</w:t>
            </w:r>
          </w:p>
        </w:tc>
        <w:tc>
          <w:tcPr>
            <w:tcW w:w="1772" w:type="dxa"/>
            <w:tcBorders/>
            <w:vAlign w:val="center"/>
          </w:tcPr>
          <w:p>
            <w:pPr>
              <w:jc w:val="right"/>
            </w:pPr>
            <w:r>
              <w:rPr>
                <w:rFonts w:ascii="宋体" w:eastAsia="宋体" w:hAnsi="宋体" w:cs="宋体"/>
                <w:b w:val="0"/>
                <w:i w:val="0"/>
                <w:color w:val="000000"/>
                <w:sz w:val="18"/>
              </w:rPr>
              <w:t xml:space="preserve">667.34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376.61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376.61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1,978.34</w:t>
            </w:r>
          </w:p>
        </w:tc>
        <w:tc>
          <w:tcPr>
            <w:tcW w:w="1780" w:type="dxa"/>
            <w:tcBorders/>
            <w:vAlign w:val="center"/>
          </w:tcPr>
          <w:p>
            <w:pPr>
              <w:jc w:val="right"/>
            </w:pPr>
            <w:r>
              <w:rPr>
                <w:rFonts w:ascii="宋体" w:eastAsia="宋体" w:hAnsi="宋体" w:cs="宋体"/>
                <w:b w:val="0"/>
                <w:i w:val="0"/>
                <w:color w:val="000000"/>
                <w:sz w:val="18"/>
              </w:rPr>
              <w:t xml:space="preserve">1,687.61</w:t>
            </w:r>
          </w:p>
        </w:tc>
        <w:tc>
          <w:tcPr>
            <w:tcW w:w="1772" w:type="dxa"/>
            <w:tcBorders/>
            <w:vAlign w:val="center"/>
          </w:tcPr>
          <w:p>
            <w:pPr>
              <w:jc w:val="right"/>
            </w:pPr>
            <w:r>
              <w:rPr>
                <w:rFonts w:ascii="宋体" w:eastAsia="宋体" w:hAnsi="宋体" w:cs="宋体"/>
                <w:b w:val="0"/>
                <w:i w:val="0"/>
                <w:color w:val="000000"/>
                <w:sz w:val="18"/>
              </w:rPr>
              <w:t xml:space="preserve">290.73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86.15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86.15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86.15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86.15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28.80</w:t>
            </w:r>
          </w:p>
        </w:tc>
        <w:tc>
          <w:tcPr>
            <w:tcW w:w="1780" w:type="dxa"/>
            <w:tcBorders/>
            <w:vAlign w:val="center"/>
          </w:tcPr>
          <w:p>
            <w:pPr>
              <w:jc w:val="right"/>
            </w:pPr>
            <w:r>
              <w:rPr>
                <w:rFonts w:ascii="宋体" w:eastAsia="宋体" w:hAnsi="宋体" w:cs="宋体"/>
                <w:b w:val="0"/>
                <w:i w:val="0"/>
                <w:color w:val="000000"/>
                <w:sz w:val="18"/>
              </w:rPr>
              <w:t xml:space="preserve">28.80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28.80</w:t>
            </w:r>
          </w:p>
        </w:tc>
        <w:tc>
          <w:tcPr>
            <w:tcW w:w="1780" w:type="dxa"/>
            <w:tcBorders/>
            <w:vAlign w:val="center"/>
          </w:tcPr>
          <w:p>
            <w:pPr>
              <w:jc w:val="right"/>
            </w:pPr>
            <w:r>
              <w:rPr>
                <w:rFonts w:ascii="宋体" w:eastAsia="宋体" w:hAnsi="宋体" w:cs="宋体"/>
                <w:b w:val="0"/>
                <w:i w:val="0"/>
                <w:color w:val="000000"/>
                <w:sz w:val="18"/>
              </w:rPr>
              <w:t xml:space="preserve">28.80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11.52</w:t>
            </w:r>
          </w:p>
        </w:tc>
        <w:tc>
          <w:tcPr>
            <w:tcW w:w="1780" w:type="dxa"/>
            <w:tcBorders/>
            <w:vAlign w:val="center"/>
          </w:tcPr>
          <w:p>
            <w:pPr>
              <w:jc w:val="right"/>
            </w:pPr>
            <w:r>
              <w:rPr>
                <w:rFonts w:ascii="宋体" w:eastAsia="宋体" w:hAnsi="宋体" w:cs="宋体"/>
                <w:b w:val="0"/>
                <w:i w:val="0"/>
                <w:color w:val="000000"/>
                <w:sz w:val="18"/>
              </w:rPr>
              <w:t xml:space="preserve">11.52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17.28</w:t>
            </w:r>
          </w:p>
        </w:tc>
        <w:tc>
          <w:tcPr>
            <w:tcW w:w="1780" w:type="dxa"/>
            <w:tcBorders/>
            <w:vAlign w:val="center"/>
          </w:tcPr>
          <w:p>
            <w:pPr>
              <w:jc w:val="right"/>
            </w:pPr>
            <w:r>
              <w:rPr>
                <w:rFonts w:ascii="宋体" w:eastAsia="宋体" w:hAnsi="宋体" w:cs="宋体"/>
                <w:b w:val="0"/>
                <w:i w:val="0"/>
                <w:color w:val="000000"/>
                <w:sz w:val="18"/>
              </w:rPr>
              <w:t xml:space="preserve">17.28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1,643.84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17.95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685.70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1.86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193.73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56.91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15.46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362.08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0.64</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214.70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3.12</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17.28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92.62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1.06</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5.36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54.62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11.52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28.85</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14.25</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10.99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0.28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1,698.46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17.95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单位：辽宁省沈阳建筑大学附属中学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023012沈阳建筑大学附属中学-210112000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1835.57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1835.57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1600.64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保障学校顺利开展教育教学工作，提高教育教学质量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学校顺利开展教育教学工作，提高教育教学质量</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提高素质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沈阳建筑大学附属中学-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沈阳建筑大学附属中学-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沈阳建筑大学附属中学-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沈阳建筑大学附属中学-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沈阳建筑大学附属中学-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沈阳建筑大学附属中学-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