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辽宁省沈阳理工大学附属学校</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辽宁省沈阳理工大学附属学校</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辽宁省沈阳理工大学附属学校</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辽宁省沈阳理工大学附属学校</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辽宁省沈阳理工大学附属学校</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辽宁省沈阳理工大学附属学校概况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（一）我校是九年一贯制学校，对沈阳市浑南区五三地区的适龄儿童进行九年义务教育。</w:t>
        <w:br/>
        <w:t xml:space="preserve">    1、全面贯彻国家教育方针，即教育必须为社会主义现代化建设服务、为人民服务，必须与生产劳动和社会实践相结合，培养德、智、体、美等方面全面发展的社会主义建设者和接班人。</w:t>
        <w:br/>
        <w:t xml:space="preserve">    2、组织教育教学、科学研究活动，保证教育教学质量。维护教职工利益，保障教职工合法权益，以教职工和学生的人生幸福和生命质量作为重点。制定学校发展规划，并抓好组织实施和落实情况。科学管理、合理使用学校的设施和经费，并积极筹措办学资金，改善办学条件。依法接受各级教育行政部门的检查指导和人民群众的监督。</w:t>
        <w:br/>
        <w:t xml:space="preserve">    3、财务管理方面：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br/>
        <w:t xml:space="preserve">    （二）内设机构：我校为公益一类、全额拨款事业单位。</w:t>
        <w:br/>
        <w:t xml:space="preserve">    内设机构有：教导处、德育处、总务处、办公室、团委、大数据中心。</w:t>
        <w:br/>
        <w:t xml:space="preserve">    （三）人员编制：根据沈阳市浑南区机构编制委员会办公室下发的沈浑南编办发文件，我校的编制数为209人。</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辽宁省沈阳理工大学附属学校</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沈阳理工大学附属学校是纳入浑南区教育局2024年部门决算编制范围的二级预算单位,本单位无下设机构。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3704.45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3661.67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98.85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3661.67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30.99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0.84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主要是区教育局专户拨入学生储物柜、考务费资金等收入。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11.78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主要是2023年省长杯校园足球联赛补助费11.62万元、区聘教师经费0.16万元等。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增加202.65万元，增长5.79%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学生增加，公用经费增加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3698.56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2678.87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72.43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工资福利支出2620.23万元；商品和服务支出23.25万元；对个人和家庭的补助35.39万元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1019.69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27.57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幼儿园2024年保育教育费、2024年学生资助、幼儿园2024年学前奖补、2024年城乡义务教育补助经费-、义务教育阶段特殊教育学校和随班就读残疾学生生均公用经费、2024年区绩效、经费-、区聘教师经费、2024年城乡义务教育补助公用经费、信访维稳工作经费、2024年教育教学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增加206.01万元，增长5.90%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基本支出增加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5.89</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主要是2022年中考部分考务费等原因形成的结余。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减少3.36万元，降低36.34%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2021年教育事业发展捐赠款已支出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3661.67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2678.87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982.81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增加336.07万元，增长10.11%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收入增加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115.01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84.14</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2024年度一般公共预算财政拨款支出3661.67万元。按支出功能分类科目分，包括：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1.教育支出3606.14万元，具体包括：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239.57万元,主要是用于幼儿园办公费、维修费、水电费等支出，完成年初预算的100%，决算数与年初预算数存在差异的主要原因是完全按照预算安排拨付，因此决算数和预算数没有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初中教育（项）3291.91万元,主要是工资福利支出、商品服务支出、对个人和家庭补助支出、办公设备购置等支出，完成年初预算的103.39%，决算数与年初预算数存在差异的主要原因是基本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74.66万元,主要是城乡义务教育补助经费，考试、考务经费，专用设备购置等支出，完成年初预算的100%，决算数与年初预算数存在差异的主要原因是完全按照预算安排拨付，因此决算数和预算数没有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2.社会保障和就业支出55.53万元，具体包括：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18.56万元,主要是事业单位离退休同志的采暖费等支出，完成年初预算的100%，决算数与年初预算数存在差异的主要原因是完全按照预算安排拨付，因此决算数和预算数没有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33.86万元,主要是补交2023年退休人员职业年金单位部分等支出，完成年初预算的100%，决算数与年初预算数存在差异的主要原因是退休教师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伤残抚恤（项）3.11万元,主要是伤残抚恤金等支出，完成年初预算的100%，决算数与年初预算数存在差异的主要原因是完全按照预算安排拨付，因此决算数和预算数没有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无公务招待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2678.87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2655.62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23.25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，其他用车主要是一般公务用车1辆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根据预算绩效管理要求，我单位组织对2024年度预算项目支出全面开展绩效自评，涉及资金3183.88元，自评平均分100分。附《部门（单位）整体绩效自评表》。</w:t>
        <w:br/>
        <w:t xml:space="preserve">    2.项目绩效自评情况及结果。</w:t>
        <w:br/>
        <w:t xml:space="preserve">    我单位无项目预算。</w:t>
        <w:br/>
        <w:t xml:space="preserve">    3.部门重点评价情况及结果。</w:t>
        <w:br/>
        <w:t xml:space="preserve">    2024年不涉及特定目标类民生项目和重点支出项目。</w:t>
        <w:br/>
        <w:t xml:space="preserve">    4.财政重点评价情况及结果。</w:t>
        <w:br/>
        <w:t xml:space="preserve">    该部门整体绩效评价效果较好，望你单位继续加强资金管理，用好财政资金，发挥资金效益。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16、教育支出（类）普通教育（款）初中教育（项）：反应各部门举办的初中教育支出。政府各部门对社会组织等举办的初中的资助，如捐赠、补贴等，也在本科目中反应。</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单位：辽宁省沈阳理工大学附属学校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3,661.67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3,643.02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30.99</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55.54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3,692.67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3,698.56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11.78</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5.89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3,704.45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3,704.45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单位：辽宁省沈阳理工大学附属学校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3,692.67</w:t>
            </w:r>
          </w:p>
        </w:tc>
        <w:tc>
          <w:tcPr>
            <w:tcW w:w="960" w:type="dxa"/>
            <w:tcBorders/>
            <w:vAlign w:val="center"/>
          </w:tcPr>
          <w:p>
            <w:pPr>
              <w:jc w:val="right"/>
            </w:pPr>
            <w:r>
              <w:rPr>
                <w:rFonts w:ascii="宋体" w:eastAsia="宋体" w:hAnsi="宋体" w:cs="宋体"/>
                <w:b/>
                <w:i w:val="0"/>
                <w:color w:val="000000"/>
                <w:sz w:val="13"/>
              </w:rPr>
              <w:t xml:space="preserve">3,661.67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30.99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3,637.13</w:t>
            </w:r>
          </w:p>
        </w:tc>
        <w:tc>
          <w:tcPr>
            <w:tcW w:w="960" w:type="dxa"/>
            <w:tcBorders/>
            <w:vAlign w:val="center"/>
          </w:tcPr>
          <w:p>
            <w:pPr>
              <w:jc w:val="right"/>
            </w:pPr>
            <w:r>
              <w:rPr>
                <w:rFonts w:ascii="宋体" w:eastAsia="宋体" w:hAnsi="宋体" w:cs="宋体"/>
                <w:b w:val="0"/>
                <w:i w:val="0"/>
                <w:color w:val="000000"/>
                <w:sz w:val="13"/>
              </w:rPr>
              <w:t xml:space="preserve">3,606.14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30.99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3,562.47</w:t>
            </w:r>
          </w:p>
        </w:tc>
        <w:tc>
          <w:tcPr>
            <w:tcW w:w="960" w:type="dxa"/>
            <w:tcBorders/>
            <w:vAlign w:val="center"/>
          </w:tcPr>
          <w:p>
            <w:pPr>
              <w:jc w:val="right"/>
            </w:pPr>
            <w:r>
              <w:rPr>
                <w:rFonts w:ascii="宋体" w:eastAsia="宋体" w:hAnsi="宋体" w:cs="宋体"/>
                <w:b w:val="0"/>
                <w:i w:val="0"/>
                <w:color w:val="000000"/>
                <w:sz w:val="13"/>
              </w:rPr>
              <w:t xml:space="preserve">3,531.48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30.99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239.57</w:t>
            </w:r>
          </w:p>
        </w:tc>
        <w:tc>
          <w:tcPr>
            <w:tcW w:w="960" w:type="dxa"/>
            <w:tcBorders/>
            <w:vAlign w:val="center"/>
          </w:tcPr>
          <w:p>
            <w:pPr>
              <w:jc w:val="right"/>
            </w:pPr>
            <w:r>
              <w:rPr>
                <w:rFonts w:ascii="宋体" w:eastAsia="宋体" w:hAnsi="宋体" w:cs="宋体"/>
                <w:b w:val="0"/>
                <w:i w:val="0"/>
                <w:color w:val="000000"/>
                <w:sz w:val="13"/>
              </w:rPr>
              <w:t xml:space="preserve">239.57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3,291.91</w:t>
            </w:r>
          </w:p>
        </w:tc>
        <w:tc>
          <w:tcPr>
            <w:tcW w:w="960" w:type="dxa"/>
            <w:tcBorders/>
            <w:vAlign w:val="center"/>
          </w:tcPr>
          <w:p>
            <w:pPr>
              <w:jc w:val="right"/>
            </w:pPr>
            <w:r>
              <w:rPr>
                <w:rFonts w:ascii="宋体" w:eastAsia="宋体" w:hAnsi="宋体" w:cs="宋体"/>
                <w:b w:val="0"/>
                <w:i w:val="0"/>
                <w:color w:val="000000"/>
                <w:sz w:val="13"/>
              </w:rPr>
              <w:t xml:space="preserve">3,291.91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30.99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30.99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74.66</w:t>
            </w:r>
          </w:p>
        </w:tc>
        <w:tc>
          <w:tcPr>
            <w:tcW w:w="960" w:type="dxa"/>
            <w:tcBorders/>
            <w:vAlign w:val="center"/>
          </w:tcPr>
          <w:p>
            <w:pPr>
              <w:jc w:val="right"/>
            </w:pPr>
            <w:r>
              <w:rPr>
                <w:rFonts w:ascii="宋体" w:eastAsia="宋体" w:hAnsi="宋体" w:cs="宋体"/>
                <w:b w:val="0"/>
                <w:i w:val="0"/>
                <w:color w:val="000000"/>
                <w:sz w:val="13"/>
              </w:rPr>
              <w:t xml:space="preserve">74.66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74.66</w:t>
            </w:r>
          </w:p>
        </w:tc>
        <w:tc>
          <w:tcPr>
            <w:tcW w:w="960" w:type="dxa"/>
            <w:tcBorders/>
            <w:vAlign w:val="center"/>
          </w:tcPr>
          <w:p>
            <w:pPr>
              <w:jc w:val="right"/>
            </w:pPr>
            <w:r>
              <w:rPr>
                <w:rFonts w:ascii="宋体" w:eastAsia="宋体" w:hAnsi="宋体" w:cs="宋体"/>
                <w:b w:val="0"/>
                <w:i w:val="0"/>
                <w:color w:val="000000"/>
                <w:sz w:val="13"/>
              </w:rPr>
              <w:t xml:space="preserve">74.66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55.53</w:t>
            </w:r>
          </w:p>
        </w:tc>
        <w:tc>
          <w:tcPr>
            <w:tcW w:w="960" w:type="dxa"/>
            <w:tcBorders/>
            <w:vAlign w:val="center"/>
          </w:tcPr>
          <w:p>
            <w:pPr>
              <w:jc w:val="right"/>
            </w:pPr>
            <w:r>
              <w:rPr>
                <w:rFonts w:ascii="宋体" w:eastAsia="宋体" w:hAnsi="宋体" w:cs="宋体"/>
                <w:b w:val="0"/>
                <w:i w:val="0"/>
                <w:color w:val="000000"/>
                <w:sz w:val="13"/>
              </w:rPr>
              <w:t xml:space="preserve">55.53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52.42</w:t>
            </w:r>
          </w:p>
        </w:tc>
        <w:tc>
          <w:tcPr>
            <w:tcW w:w="960" w:type="dxa"/>
            <w:tcBorders/>
            <w:vAlign w:val="center"/>
          </w:tcPr>
          <w:p>
            <w:pPr>
              <w:jc w:val="right"/>
            </w:pPr>
            <w:r>
              <w:rPr>
                <w:rFonts w:ascii="宋体" w:eastAsia="宋体" w:hAnsi="宋体" w:cs="宋体"/>
                <w:b w:val="0"/>
                <w:i w:val="0"/>
                <w:color w:val="000000"/>
                <w:sz w:val="13"/>
              </w:rPr>
              <w:t xml:space="preserve">52.42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18.56</w:t>
            </w:r>
          </w:p>
        </w:tc>
        <w:tc>
          <w:tcPr>
            <w:tcW w:w="960" w:type="dxa"/>
            <w:tcBorders/>
            <w:vAlign w:val="center"/>
          </w:tcPr>
          <w:p>
            <w:pPr>
              <w:jc w:val="right"/>
            </w:pPr>
            <w:r>
              <w:rPr>
                <w:rFonts w:ascii="宋体" w:eastAsia="宋体" w:hAnsi="宋体" w:cs="宋体"/>
                <w:b w:val="0"/>
                <w:i w:val="0"/>
                <w:color w:val="000000"/>
                <w:sz w:val="13"/>
              </w:rPr>
              <w:t xml:space="preserve">18.56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33.86</w:t>
            </w:r>
          </w:p>
        </w:tc>
        <w:tc>
          <w:tcPr>
            <w:tcW w:w="960" w:type="dxa"/>
            <w:tcBorders/>
            <w:vAlign w:val="center"/>
          </w:tcPr>
          <w:p>
            <w:pPr>
              <w:jc w:val="right"/>
            </w:pPr>
            <w:r>
              <w:rPr>
                <w:rFonts w:ascii="宋体" w:eastAsia="宋体" w:hAnsi="宋体" w:cs="宋体"/>
                <w:b w:val="0"/>
                <w:i w:val="0"/>
                <w:color w:val="000000"/>
                <w:sz w:val="13"/>
              </w:rPr>
              <w:t xml:space="preserve">33.86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3.11</w:t>
            </w:r>
          </w:p>
        </w:tc>
        <w:tc>
          <w:tcPr>
            <w:tcW w:w="960" w:type="dxa"/>
            <w:tcBorders/>
            <w:vAlign w:val="center"/>
          </w:tcPr>
          <w:p>
            <w:pPr>
              <w:jc w:val="right"/>
            </w:pPr>
            <w:r>
              <w:rPr>
                <w:rFonts w:ascii="宋体" w:eastAsia="宋体" w:hAnsi="宋体" w:cs="宋体"/>
                <w:b w:val="0"/>
                <w:i w:val="0"/>
                <w:color w:val="000000"/>
                <w:sz w:val="13"/>
              </w:rPr>
              <w:t xml:space="preserve">3.11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3.11</w:t>
            </w:r>
          </w:p>
        </w:tc>
        <w:tc>
          <w:tcPr>
            <w:tcW w:w="960" w:type="dxa"/>
            <w:tcBorders/>
            <w:vAlign w:val="center"/>
          </w:tcPr>
          <w:p>
            <w:pPr>
              <w:jc w:val="right"/>
            </w:pPr>
            <w:r>
              <w:rPr>
                <w:rFonts w:ascii="宋体" w:eastAsia="宋体" w:hAnsi="宋体" w:cs="宋体"/>
                <w:b w:val="0"/>
                <w:i w:val="0"/>
                <w:color w:val="000000"/>
                <w:sz w:val="13"/>
              </w:rPr>
              <w:t xml:space="preserve">3.11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单位：辽宁省沈阳理工大学附属学校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3,698.56</w:t>
            </w:r>
          </w:p>
        </w:tc>
        <w:tc>
          <w:tcPr>
            <w:tcW w:w="1060" w:type="dxa"/>
            <w:tcBorders/>
            <w:vAlign w:val="center"/>
          </w:tcPr>
          <w:p>
            <w:pPr>
              <w:jc w:val="right"/>
            </w:pPr>
            <w:r>
              <w:rPr>
                <w:rFonts w:ascii="宋体" w:eastAsia="宋体" w:hAnsi="宋体" w:cs="宋体"/>
                <w:b/>
                <w:i w:val="0"/>
                <w:color w:val="000000"/>
                <w:sz w:val="14"/>
              </w:rPr>
              <w:t xml:space="preserve">2,678.87</w:t>
            </w:r>
          </w:p>
        </w:tc>
        <w:tc>
          <w:tcPr>
            <w:tcW w:w="1060" w:type="dxa"/>
            <w:tcBorders/>
            <w:vAlign w:val="center"/>
          </w:tcPr>
          <w:p>
            <w:pPr>
              <w:jc w:val="right"/>
            </w:pPr>
            <w:r>
              <w:rPr>
                <w:rFonts w:ascii="宋体" w:eastAsia="宋体" w:hAnsi="宋体" w:cs="宋体"/>
                <w:b/>
                <w:i w:val="0"/>
                <w:color w:val="000000"/>
                <w:sz w:val="14"/>
              </w:rPr>
              <w:t xml:space="preserve">1,019.69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3,643.03</w:t>
            </w:r>
          </w:p>
        </w:tc>
        <w:tc>
          <w:tcPr>
            <w:tcW w:w="1060" w:type="dxa"/>
            <w:tcBorders/>
            <w:vAlign w:val="center"/>
          </w:tcPr>
          <w:p>
            <w:pPr>
              <w:jc w:val="right"/>
            </w:pPr>
            <w:r>
              <w:rPr>
                <w:rFonts w:ascii="宋体" w:eastAsia="宋体" w:hAnsi="宋体" w:cs="宋体"/>
                <w:b w:val="0"/>
                <w:i w:val="0"/>
                <w:color w:val="000000"/>
                <w:sz w:val="14"/>
              </w:rPr>
              <w:t xml:space="preserve">2,623.33</w:t>
            </w:r>
          </w:p>
        </w:tc>
        <w:tc>
          <w:tcPr>
            <w:tcW w:w="1060" w:type="dxa"/>
            <w:tcBorders/>
            <w:vAlign w:val="center"/>
          </w:tcPr>
          <w:p>
            <w:pPr>
              <w:jc w:val="right"/>
            </w:pPr>
            <w:r>
              <w:rPr>
                <w:rFonts w:ascii="宋体" w:eastAsia="宋体" w:hAnsi="宋体" w:cs="宋体"/>
                <w:b w:val="0"/>
                <w:i w:val="0"/>
                <w:color w:val="000000"/>
                <w:sz w:val="14"/>
              </w:rPr>
              <w:t xml:space="preserve">1,019.70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20501</w:t>
            </w:r>
          </w:p>
        </w:tc>
        <w:tc>
          <w:tcPr>
            <w:tcW w:w="3440" w:type="dxa"/>
            <w:tcBorders/>
            <w:vAlign w:val="center"/>
          </w:tcPr>
          <w:p>
            <w:pPr>
              <w:jc w:val="left"/>
            </w:pPr>
            <w:r>
              <w:rPr>
                <w:rFonts w:ascii="宋体" w:eastAsia="宋体" w:hAnsi="宋体" w:cs="宋体"/>
                <w:b w:val="0"/>
                <w:i w:val="0"/>
                <w:color w:val="000000"/>
                <w:sz w:val="14"/>
              </w:rPr>
              <w:t xml:space="preserve">教育管理事务</w:t>
            </w: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3,568.21</w:t>
            </w:r>
          </w:p>
        </w:tc>
        <w:tc>
          <w:tcPr>
            <w:tcW w:w="1060" w:type="dxa"/>
            <w:tcBorders/>
            <w:vAlign w:val="center"/>
          </w:tcPr>
          <w:p>
            <w:pPr>
              <w:jc w:val="right"/>
            </w:pPr>
            <w:r>
              <w:rPr>
                <w:rFonts w:ascii="宋体" w:eastAsia="宋体" w:hAnsi="宋体" w:cs="宋体"/>
                <w:b w:val="0"/>
                <w:i w:val="0"/>
                <w:color w:val="000000"/>
                <w:sz w:val="14"/>
              </w:rPr>
              <w:t xml:space="preserve">2,623.33</w:t>
            </w:r>
          </w:p>
        </w:tc>
        <w:tc>
          <w:tcPr>
            <w:tcW w:w="1060" w:type="dxa"/>
            <w:tcBorders/>
            <w:vAlign w:val="center"/>
          </w:tcPr>
          <w:p>
            <w:pPr>
              <w:jc w:val="right"/>
            </w:pPr>
            <w:r>
              <w:rPr>
                <w:rFonts w:ascii="宋体" w:eastAsia="宋体" w:hAnsi="宋体" w:cs="宋体"/>
                <w:b w:val="0"/>
                <w:i w:val="0"/>
                <w:color w:val="000000"/>
                <w:sz w:val="14"/>
              </w:rPr>
              <w:t xml:space="preserve">944.88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239.57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239.57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3,291.91</w:t>
            </w:r>
          </w:p>
        </w:tc>
        <w:tc>
          <w:tcPr>
            <w:tcW w:w="1060" w:type="dxa"/>
            <w:tcBorders/>
            <w:vAlign w:val="center"/>
          </w:tcPr>
          <w:p>
            <w:pPr>
              <w:jc w:val="right"/>
            </w:pPr>
            <w:r>
              <w:rPr>
                <w:rFonts w:ascii="宋体" w:eastAsia="宋体" w:hAnsi="宋体" w:cs="宋体"/>
                <w:b w:val="0"/>
                <w:i w:val="0"/>
                <w:color w:val="000000"/>
                <w:sz w:val="14"/>
              </w:rPr>
              <w:t xml:space="preserve">2,623.33</w:t>
            </w:r>
          </w:p>
        </w:tc>
        <w:tc>
          <w:tcPr>
            <w:tcW w:w="1060" w:type="dxa"/>
            <w:tcBorders/>
            <w:vAlign w:val="center"/>
          </w:tcPr>
          <w:p>
            <w:pPr>
              <w:jc w:val="right"/>
            </w:pPr>
            <w:r>
              <w:rPr>
                <w:rFonts w:ascii="宋体" w:eastAsia="宋体" w:hAnsi="宋体" w:cs="宋体"/>
                <w:b w:val="0"/>
                <w:i w:val="0"/>
                <w:color w:val="000000"/>
                <w:sz w:val="14"/>
              </w:rPr>
              <w:t xml:space="preserve">668.58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36.73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74.66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74.66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74.66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74.66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55.53</w:t>
            </w:r>
          </w:p>
        </w:tc>
        <w:tc>
          <w:tcPr>
            <w:tcW w:w="1060" w:type="dxa"/>
            <w:tcBorders/>
            <w:vAlign w:val="center"/>
          </w:tcPr>
          <w:p>
            <w:pPr>
              <w:jc w:val="right"/>
            </w:pPr>
            <w:r>
              <w:rPr>
                <w:rFonts w:ascii="宋体" w:eastAsia="宋体" w:hAnsi="宋体" w:cs="宋体"/>
                <w:b w:val="0"/>
                <w:i w:val="0"/>
                <w:color w:val="000000"/>
                <w:sz w:val="14"/>
              </w:rPr>
              <w:t xml:space="preserve">55.53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52.42</w:t>
            </w:r>
          </w:p>
        </w:tc>
        <w:tc>
          <w:tcPr>
            <w:tcW w:w="1060" w:type="dxa"/>
            <w:tcBorders/>
            <w:vAlign w:val="center"/>
          </w:tcPr>
          <w:p>
            <w:pPr>
              <w:jc w:val="right"/>
            </w:pPr>
            <w:r>
              <w:rPr>
                <w:rFonts w:ascii="宋体" w:eastAsia="宋体" w:hAnsi="宋体" w:cs="宋体"/>
                <w:b w:val="0"/>
                <w:i w:val="0"/>
                <w:color w:val="000000"/>
                <w:sz w:val="14"/>
              </w:rPr>
              <w:t xml:space="preserve">52.42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18.56</w:t>
            </w:r>
          </w:p>
        </w:tc>
        <w:tc>
          <w:tcPr>
            <w:tcW w:w="1060" w:type="dxa"/>
            <w:tcBorders/>
            <w:vAlign w:val="center"/>
          </w:tcPr>
          <w:p>
            <w:pPr>
              <w:jc w:val="right"/>
            </w:pPr>
            <w:r>
              <w:rPr>
                <w:rFonts w:ascii="宋体" w:eastAsia="宋体" w:hAnsi="宋体" w:cs="宋体"/>
                <w:b w:val="0"/>
                <w:i w:val="0"/>
                <w:color w:val="000000"/>
                <w:sz w:val="14"/>
              </w:rPr>
              <w:t xml:space="preserve">18.56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33.86</w:t>
            </w:r>
          </w:p>
        </w:tc>
        <w:tc>
          <w:tcPr>
            <w:tcW w:w="1060" w:type="dxa"/>
            <w:tcBorders/>
            <w:vAlign w:val="center"/>
          </w:tcPr>
          <w:p>
            <w:pPr>
              <w:jc w:val="right"/>
            </w:pPr>
            <w:r>
              <w:rPr>
                <w:rFonts w:ascii="宋体" w:eastAsia="宋体" w:hAnsi="宋体" w:cs="宋体"/>
                <w:b w:val="0"/>
                <w:i w:val="0"/>
                <w:color w:val="000000"/>
                <w:sz w:val="14"/>
              </w:rPr>
              <w:t xml:space="preserve">33.86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3.11</w:t>
            </w:r>
          </w:p>
        </w:tc>
        <w:tc>
          <w:tcPr>
            <w:tcW w:w="1060" w:type="dxa"/>
            <w:tcBorders/>
            <w:vAlign w:val="center"/>
          </w:tcPr>
          <w:p>
            <w:pPr>
              <w:jc w:val="right"/>
            </w:pPr>
            <w:r>
              <w:rPr>
                <w:rFonts w:ascii="宋体" w:eastAsia="宋体" w:hAnsi="宋体" w:cs="宋体"/>
                <w:b w:val="0"/>
                <w:i w:val="0"/>
                <w:color w:val="000000"/>
                <w:sz w:val="14"/>
              </w:rPr>
              <w:t xml:space="preserve">3.11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3.11</w:t>
            </w:r>
          </w:p>
        </w:tc>
        <w:tc>
          <w:tcPr>
            <w:tcW w:w="1060" w:type="dxa"/>
            <w:tcBorders/>
            <w:vAlign w:val="center"/>
          </w:tcPr>
          <w:p>
            <w:pPr>
              <w:jc w:val="right"/>
            </w:pPr>
            <w:r>
              <w:rPr>
                <w:rFonts w:ascii="宋体" w:eastAsia="宋体" w:hAnsi="宋体" w:cs="宋体"/>
                <w:b w:val="0"/>
                <w:i w:val="0"/>
                <w:color w:val="000000"/>
                <w:sz w:val="14"/>
              </w:rPr>
              <w:t xml:space="preserve">3.11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单位：辽宁省沈阳理工大学附属学校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3,661.67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3,606.14</w:t>
            </w:r>
          </w:p>
        </w:tc>
        <w:tc>
          <w:tcPr>
            <w:tcW w:w="1100" w:type="dxa"/>
            <w:tcBorders/>
            <w:vAlign w:val="center"/>
          </w:tcPr>
          <w:p>
            <w:pPr>
              <w:jc w:val="right"/>
            </w:pPr>
            <w:r>
              <w:rPr>
                <w:rFonts w:ascii="宋体" w:eastAsia="宋体" w:hAnsi="宋体" w:cs="宋体"/>
                <w:b w:val="0"/>
                <w:i w:val="0"/>
                <w:color w:val="000000"/>
                <w:sz w:val="14"/>
              </w:rPr>
              <w:t xml:space="preserve">3,606.14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55.54</w:t>
            </w:r>
          </w:p>
        </w:tc>
        <w:tc>
          <w:tcPr>
            <w:tcW w:w="1100" w:type="dxa"/>
            <w:tcBorders/>
            <w:vAlign w:val="center"/>
          </w:tcPr>
          <w:p>
            <w:pPr>
              <w:jc w:val="right"/>
            </w:pPr>
            <w:r>
              <w:rPr>
                <w:rFonts w:ascii="宋体" w:eastAsia="宋体" w:hAnsi="宋体" w:cs="宋体"/>
                <w:b w:val="0"/>
                <w:i w:val="0"/>
                <w:color w:val="000000"/>
                <w:sz w:val="14"/>
              </w:rPr>
              <w:t xml:space="preserve">55.54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3,661.67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3,661.67</w:t>
            </w:r>
          </w:p>
        </w:tc>
        <w:tc>
          <w:tcPr>
            <w:tcW w:w="1100" w:type="dxa"/>
            <w:tcBorders/>
            <w:vAlign w:val="center"/>
          </w:tcPr>
          <w:p>
            <w:pPr>
              <w:jc w:val="right"/>
            </w:pPr>
            <w:r>
              <w:rPr>
                <w:rFonts w:ascii="宋体" w:eastAsia="宋体" w:hAnsi="宋体" w:cs="宋体"/>
                <w:b w:val="0"/>
                <w:i w:val="0"/>
                <w:color w:val="000000"/>
                <w:sz w:val="14"/>
              </w:rPr>
              <w:t xml:space="preserve">3,661.67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3,661.67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3,661.67</w:t>
            </w:r>
          </w:p>
        </w:tc>
        <w:tc>
          <w:tcPr>
            <w:tcW w:w="1100" w:type="dxa"/>
            <w:tcBorders/>
            <w:vAlign w:val="center"/>
          </w:tcPr>
          <w:p>
            <w:pPr>
              <w:jc w:val="right"/>
            </w:pPr>
            <w:r>
              <w:rPr>
                <w:rFonts w:ascii="宋体" w:eastAsia="宋体" w:hAnsi="宋体" w:cs="宋体"/>
                <w:b w:val="0"/>
                <w:i w:val="0"/>
                <w:color w:val="000000"/>
                <w:sz w:val="14"/>
              </w:rPr>
              <w:t xml:space="preserve">3,661.67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单位：辽宁省沈阳理工大学附属学校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3,661.67</w:t>
            </w:r>
          </w:p>
        </w:tc>
        <w:tc>
          <w:tcPr>
            <w:tcW w:w="1780" w:type="dxa"/>
            <w:tcBorders/>
            <w:vAlign w:val="center"/>
          </w:tcPr>
          <w:p>
            <w:pPr>
              <w:jc w:val="right"/>
            </w:pPr>
            <w:r>
              <w:rPr>
                <w:rFonts w:ascii="宋体" w:eastAsia="宋体" w:hAnsi="宋体" w:cs="宋体"/>
                <w:b/>
                <w:i w:val="0"/>
                <w:color w:val="000000"/>
                <w:sz w:val="18"/>
              </w:rPr>
              <w:t xml:space="preserve">2,678.87</w:t>
            </w:r>
          </w:p>
        </w:tc>
        <w:tc>
          <w:tcPr>
            <w:tcW w:w="1772" w:type="dxa"/>
            <w:tcBorders/>
            <w:vAlign w:val="center"/>
          </w:tcPr>
          <w:p>
            <w:pPr>
              <w:jc w:val="right"/>
            </w:pPr>
            <w:r>
              <w:rPr>
                <w:rFonts w:ascii="宋体" w:eastAsia="宋体" w:hAnsi="宋体" w:cs="宋体"/>
                <w:b/>
                <w:i w:val="0"/>
                <w:color w:val="000000"/>
                <w:sz w:val="18"/>
              </w:rPr>
              <w:t xml:space="preserve">982.81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3,606.14</w:t>
            </w:r>
          </w:p>
        </w:tc>
        <w:tc>
          <w:tcPr>
            <w:tcW w:w="1780" w:type="dxa"/>
            <w:tcBorders/>
            <w:vAlign w:val="center"/>
          </w:tcPr>
          <w:p>
            <w:pPr>
              <w:jc w:val="right"/>
            </w:pPr>
            <w:r>
              <w:rPr>
                <w:rFonts w:ascii="宋体" w:eastAsia="宋体" w:hAnsi="宋体" w:cs="宋体"/>
                <w:b w:val="0"/>
                <w:i w:val="0"/>
                <w:color w:val="000000"/>
                <w:sz w:val="18"/>
              </w:rPr>
              <w:t xml:space="preserve">2,623.33</w:t>
            </w:r>
          </w:p>
        </w:tc>
        <w:tc>
          <w:tcPr>
            <w:tcW w:w="1772" w:type="dxa"/>
            <w:tcBorders/>
            <w:vAlign w:val="center"/>
          </w:tcPr>
          <w:p>
            <w:pPr>
              <w:jc w:val="right"/>
            </w:pPr>
            <w:r>
              <w:rPr>
                <w:rFonts w:ascii="宋体" w:eastAsia="宋体" w:hAnsi="宋体" w:cs="宋体"/>
                <w:b w:val="0"/>
                <w:i w:val="0"/>
                <w:color w:val="000000"/>
                <w:sz w:val="18"/>
              </w:rPr>
              <w:t xml:space="preserve">982.81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3,531.48</w:t>
            </w:r>
          </w:p>
        </w:tc>
        <w:tc>
          <w:tcPr>
            <w:tcW w:w="1780" w:type="dxa"/>
            <w:tcBorders/>
            <w:vAlign w:val="center"/>
          </w:tcPr>
          <w:p>
            <w:pPr>
              <w:jc w:val="right"/>
            </w:pPr>
            <w:r>
              <w:rPr>
                <w:rFonts w:ascii="宋体" w:eastAsia="宋体" w:hAnsi="宋体" w:cs="宋体"/>
                <w:b w:val="0"/>
                <w:i w:val="0"/>
                <w:color w:val="000000"/>
                <w:sz w:val="18"/>
              </w:rPr>
              <w:t xml:space="preserve">2,623.33</w:t>
            </w:r>
          </w:p>
        </w:tc>
        <w:tc>
          <w:tcPr>
            <w:tcW w:w="1772" w:type="dxa"/>
            <w:tcBorders/>
            <w:vAlign w:val="center"/>
          </w:tcPr>
          <w:p>
            <w:pPr>
              <w:jc w:val="right"/>
            </w:pPr>
            <w:r>
              <w:rPr>
                <w:rFonts w:ascii="宋体" w:eastAsia="宋体" w:hAnsi="宋体" w:cs="宋体"/>
                <w:b w:val="0"/>
                <w:i w:val="0"/>
                <w:color w:val="000000"/>
                <w:sz w:val="18"/>
              </w:rPr>
              <w:t xml:space="preserve">908.15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239.57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239.57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3,291.91</w:t>
            </w:r>
          </w:p>
        </w:tc>
        <w:tc>
          <w:tcPr>
            <w:tcW w:w="1780" w:type="dxa"/>
            <w:tcBorders/>
            <w:vAlign w:val="center"/>
          </w:tcPr>
          <w:p>
            <w:pPr>
              <w:jc w:val="right"/>
            </w:pPr>
            <w:r>
              <w:rPr>
                <w:rFonts w:ascii="宋体" w:eastAsia="宋体" w:hAnsi="宋体" w:cs="宋体"/>
                <w:b w:val="0"/>
                <w:i w:val="0"/>
                <w:color w:val="000000"/>
                <w:sz w:val="18"/>
              </w:rPr>
              <w:t xml:space="preserve">2,623.33</w:t>
            </w:r>
          </w:p>
        </w:tc>
        <w:tc>
          <w:tcPr>
            <w:tcW w:w="1772" w:type="dxa"/>
            <w:tcBorders/>
            <w:vAlign w:val="center"/>
          </w:tcPr>
          <w:p>
            <w:pPr>
              <w:jc w:val="right"/>
            </w:pPr>
            <w:r>
              <w:rPr>
                <w:rFonts w:ascii="宋体" w:eastAsia="宋体" w:hAnsi="宋体" w:cs="宋体"/>
                <w:b w:val="0"/>
                <w:i w:val="0"/>
                <w:color w:val="000000"/>
                <w:sz w:val="18"/>
              </w:rPr>
              <w:t xml:space="preserve">668.58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74.66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74.66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74.66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74.66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55.53</w:t>
            </w:r>
          </w:p>
        </w:tc>
        <w:tc>
          <w:tcPr>
            <w:tcW w:w="1780" w:type="dxa"/>
            <w:tcBorders/>
            <w:vAlign w:val="center"/>
          </w:tcPr>
          <w:p>
            <w:pPr>
              <w:jc w:val="right"/>
            </w:pPr>
            <w:r>
              <w:rPr>
                <w:rFonts w:ascii="宋体" w:eastAsia="宋体" w:hAnsi="宋体" w:cs="宋体"/>
                <w:b w:val="0"/>
                <w:i w:val="0"/>
                <w:color w:val="000000"/>
                <w:sz w:val="18"/>
              </w:rPr>
              <w:t xml:space="preserve">55.53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52.42</w:t>
            </w:r>
          </w:p>
        </w:tc>
        <w:tc>
          <w:tcPr>
            <w:tcW w:w="1780" w:type="dxa"/>
            <w:tcBorders/>
            <w:vAlign w:val="center"/>
          </w:tcPr>
          <w:p>
            <w:pPr>
              <w:jc w:val="right"/>
            </w:pPr>
            <w:r>
              <w:rPr>
                <w:rFonts w:ascii="宋体" w:eastAsia="宋体" w:hAnsi="宋体" w:cs="宋体"/>
                <w:b w:val="0"/>
                <w:i w:val="0"/>
                <w:color w:val="000000"/>
                <w:sz w:val="18"/>
              </w:rPr>
              <w:t xml:space="preserve">52.42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18.56</w:t>
            </w:r>
          </w:p>
        </w:tc>
        <w:tc>
          <w:tcPr>
            <w:tcW w:w="1780" w:type="dxa"/>
            <w:tcBorders/>
            <w:vAlign w:val="center"/>
          </w:tcPr>
          <w:p>
            <w:pPr>
              <w:jc w:val="right"/>
            </w:pPr>
            <w:r>
              <w:rPr>
                <w:rFonts w:ascii="宋体" w:eastAsia="宋体" w:hAnsi="宋体" w:cs="宋体"/>
                <w:b w:val="0"/>
                <w:i w:val="0"/>
                <w:color w:val="000000"/>
                <w:sz w:val="18"/>
              </w:rPr>
              <w:t xml:space="preserve">18.56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33.86</w:t>
            </w:r>
          </w:p>
        </w:tc>
        <w:tc>
          <w:tcPr>
            <w:tcW w:w="1780" w:type="dxa"/>
            <w:tcBorders/>
            <w:vAlign w:val="center"/>
          </w:tcPr>
          <w:p>
            <w:pPr>
              <w:jc w:val="right"/>
            </w:pPr>
            <w:r>
              <w:rPr>
                <w:rFonts w:ascii="宋体" w:eastAsia="宋体" w:hAnsi="宋体" w:cs="宋体"/>
                <w:b w:val="0"/>
                <w:i w:val="0"/>
                <w:color w:val="000000"/>
                <w:sz w:val="18"/>
              </w:rPr>
              <w:t xml:space="preserve">33.86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3.11</w:t>
            </w:r>
          </w:p>
        </w:tc>
        <w:tc>
          <w:tcPr>
            <w:tcW w:w="1780" w:type="dxa"/>
            <w:tcBorders/>
            <w:vAlign w:val="center"/>
          </w:tcPr>
          <w:p>
            <w:pPr>
              <w:jc w:val="right"/>
            </w:pPr>
            <w:r>
              <w:rPr>
                <w:rFonts w:ascii="宋体" w:eastAsia="宋体" w:hAnsi="宋体" w:cs="宋体"/>
                <w:b w:val="0"/>
                <w:i w:val="0"/>
                <w:color w:val="000000"/>
                <w:sz w:val="18"/>
              </w:rPr>
              <w:t xml:space="preserve">3.11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3.11</w:t>
            </w:r>
          </w:p>
        </w:tc>
        <w:tc>
          <w:tcPr>
            <w:tcW w:w="1780" w:type="dxa"/>
            <w:tcBorders/>
            <w:vAlign w:val="center"/>
          </w:tcPr>
          <w:p>
            <w:pPr>
              <w:jc w:val="right"/>
            </w:pPr>
            <w:r>
              <w:rPr>
                <w:rFonts w:ascii="宋体" w:eastAsia="宋体" w:hAnsi="宋体" w:cs="宋体"/>
                <w:b w:val="0"/>
                <w:i w:val="0"/>
                <w:color w:val="000000"/>
                <w:sz w:val="18"/>
              </w:rPr>
              <w:t xml:space="preserve">3.11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单位：辽宁省沈阳理工大学附属学校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2,620.23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23.25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1,100.56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321.38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1.05</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86.02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28.19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552.07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345.33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33.86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144.02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8.80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35.39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1.35</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18.56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10.76</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6.07</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20.78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2,655.62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23.25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单位：辽宁省沈阳理工大学附属学校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单位：辽宁省沈阳理工大学附属学校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单位：辽宁省沈阳理工大学附属学校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023006沈阳理工大学附属学校-210112000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3183.88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3183.88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2537.35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2537.34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118.27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保障学校日常工作顺利开展</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学校日常工作顺利开展</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有利于提高民族素质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素质教育</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全年空气优良天数增长率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完成教学改革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提高素质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沈阳理工大学附属学校-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保证学校工作有序进行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沈阳理工大学附属学校-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教师绩效拨款已足额发放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沈阳理工大学附属学校-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教育教学经费及时足额保障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沈阳理工大学附属学校-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已正常足额支付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沈阳理工大学附属学校-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已足额发放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沈阳理工大学附属学校-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保障幼儿园各项工作正常运转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沈阳理工大学附属学校-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沈阳理工大学附属学校-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保育费按时下拨保证幼儿园工作正常运转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