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辽宁省沈阳市第七十二中学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辽宁省沈阳市第七十二中学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辽宁省沈阳市第七十二中学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辽宁省沈阳市第七十二中学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辽宁省沈阳市第七十二中学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辽宁省沈阳市第七十二中学概况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（一）我校是沈阳市浑南区所属九年一贯制学校，属于全额拨款单位，业务范围是实施本地区学前教育和1—9年级义务教育，宗旨是促进基础教育发展，保质保量地完成本学区义务教育阶段教育教学工作。</w:t>
        <w:br/>
        <w:t xml:space="preserve">    1、全面贯彻国家教育方针，即教育必须为社会主义现代化建设服务、为人民服务，必须与生产劳动和社会实践相结合，培养德、智、体、美等方面全面发展的社会主义建设者和接班人。</w:t>
        <w:br/>
        <w:t xml:space="preserve">    2、组织教育教学、科学研究活动，保证教育教学质量。维护教职工利益，保障教职工合法权益，以教职工和学生的人生幸福和生命质量作为重点。制定学校发展规划，并抓好组织实施和落实情况。科学管理、合理使用学校的设施和经费，并积极筹措办学资金，改善办学条件。依法接受各级教育行政部门的检查指导和人民群众的监督。</w:t>
        <w:br/>
        <w:t xml:space="preserve">    3、财务管理方面：</w:t>
        <w:b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b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br/>
        <w:t xml:space="preserve">    （二）内设机构：我校为公益一类、全额拨款事业单位。</w:t>
        <w:br/>
        <w:t xml:space="preserve">    内设机构有：教导处、德育处、总务处、办公室、团委。</w:t>
        <w:br/>
        <w:t xml:space="preserve">    （三）人员编制：根据沈阳市浑南区机构编制委员会办公室下发的沈浑南编办发文件，我校的编制数为81人。</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辽宁省沈阳市第七十二中学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沈阳市第七十二中学是纳入浑南区教育局2024年度部门决算编制范围的二级预算单位，本单位无下设机构。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1534.58</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1518.27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98.94</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1518.27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10.33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0.67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主要是学校校舍维修改造项目工程款及学生桌椅项目质保金等收入。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5.98</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0.39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主要是学校赛艇项目质保金及历史遗留结转的事业基金等。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减少154.75万元，降低9.16%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由于学生人数和教师人数减少，导致经费减少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1529.18</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1244.26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81.37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工资福利支出1155.13万元；商品和服务支出14.36万元；对个人和家庭的补助74.78万元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284.92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18.63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主要包括学校及幼儿园经费、教师绩效、缴纳残疾人就业保障金、六十年代精简退职职工生活补助及学生资助等业务支出。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减少154.17万元，降低9.16%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由于学生人数和教师人数减少，导致经费减少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5.40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主要是历史遗留结转的事业基金等原因形成的结余。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减少0.58万元，降低9.68%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学校赛艇项目质保金已付</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1518.27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1244.26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274.01</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减少117.56万元，降低7.19%</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由于学生人数和教师人数减少，导致经费减少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109.14</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89.45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2024年度一般公共预算财政拨款支出1518.27万元。按支出功能分类科目分，包括：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1.教育支出1462.94万元，具体包括：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（1）教育支出（类）普通教育（款）学前教育（项）38.60万元,主要是商品和服务支出等支出，完成年初预算的100%，决算数与年初预算数存在差异的主要原因是完全按照预算执行，决算数与预算数无差异。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普通教育（款）初中教育（项）1410.48万元,主要是工资福利支出，商品和服务支出，对个人和家庭的补助支出，资本性支出等支出，完成年初预算的107.68%，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（3）教育支出（类）教育费附加安排的支出（款）其他教育费附加安排的支出（项）13.86万元,主要是商品和服务支出等支出，完成年初预算的107.68%，决算数与年初预算数存在差异的主要原因是按实际情况支付。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2.社会保障和就业支出55.33万元，具体包括：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21.37万元,主要是对个人和家庭的补助等支出，完成年初预算的222.38%，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33.96万元,主要是工资福利支出等支出，完成年初预算的222.38%，决算数与年初预算数存在差异的主要原因是按实际情况支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1244.27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1229.91</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14.36</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本单位无此项业务</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，其他用车主要是闲置中等待报废</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具体而言，本年度我部门共组织对1个项目实施了绩效评价。从预算资金来源看，涉及一般公共预算的项目1个，涉及政府性基金预算的项目0个，涉及国有资本经营预算的项目0个。</w:t>
        <w:br/>
        <w:t xml:space="preserve">上述评价工作共涉及财政资金1391.08万元。其中，一般公共预算资金1391.08万元，占资金总额的100%；政府性基金预算资金0万元，占0%；国有资本经营预算资金0万元，占0%。通过全面开展绩效评价，旨在全面检验财政资金的使用效益和政策的实施效果。</w:t>
        <w:br/>
        <w:t xml:space="preserve">2.项目绩效自评情况及结果。</w:t>
        <w:br/>
        <w:t xml:space="preserve">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自评得分在90分（含）以上、绩效等级为“优”的项目有8个；得分在80分（含）至90分、等级为“良”的项目有0个；得分在60分（含）至80分、等级为“中”的项目有0个；得分在60分以下、等级为“差”的项目有0个。各项目自评发现，部分项目存在预算执行进度偏慢、个别效益指标未能完全达成等问题，已要求相关项目单位分析原因并制定改进措施。</w:t>
        <w:br/>
        <w:t xml:space="preserve">3.部门重点评价情况及结果。</w:t>
        <w:br/>
        <w:t xml:space="preserve">我部门未产生资金量大、社会关注度高的民生领域项目，因此暂未做重点项目绩效评价。</w:t>
        <w:br/>
        <w:t xml:space="preserve">4.财政评价结果。</w:t>
        <w:br/>
        <w:t xml:space="preserve">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5.其他需要说明的情况。</w:t>
        <w:br/>
        <w:t xml:space="preserve">（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（2）公开情况：本部门将按照政务公开要求，适时将通过审核的绩效评价结果（尤其是部门评价和财政评价结果）向社会公开，主动接受社会监督。</w:t>
        <w:br/>
        <w:t xml:space="preserve">（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单位：辽宁省沈阳市第七十二中学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1,518.27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1,473.85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10.33</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55.34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1,528.60</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1,529.18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5.98</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5.40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1,534.58</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1,534.58</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单位：辽宁省沈阳市第七十二中学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1,528.60</w:t>
            </w:r>
          </w:p>
        </w:tc>
        <w:tc>
          <w:tcPr>
            <w:tcW w:w="960" w:type="dxa"/>
            <w:tcBorders/>
            <w:vAlign w:val="center"/>
          </w:tcPr>
          <w:p>
            <w:pPr>
              <w:jc w:val="right"/>
            </w:pPr>
            <w:r>
              <w:rPr>
                <w:rFonts w:ascii="宋体" w:eastAsia="宋体" w:hAnsi="宋体" w:cs="宋体"/>
                <w:b/>
                <w:i w:val="0"/>
                <w:color w:val="000000"/>
                <w:sz w:val="13"/>
              </w:rPr>
              <w:t xml:space="preserve">1,518.27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10.33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1,473.27</w:t>
            </w:r>
          </w:p>
        </w:tc>
        <w:tc>
          <w:tcPr>
            <w:tcW w:w="960" w:type="dxa"/>
            <w:tcBorders/>
            <w:vAlign w:val="center"/>
          </w:tcPr>
          <w:p>
            <w:pPr>
              <w:jc w:val="right"/>
            </w:pPr>
            <w:r>
              <w:rPr>
                <w:rFonts w:ascii="宋体" w:eastAsia="宋体" w:hAnsi="宋体" w:cs="宋体"/>
                <w:b w:val="0"/>
                <w:i w:val="0"/>
                <w:color w:val="000000"/>
                <w:sz w:val="13"/>
              </w:rPr>
              <w:t xml:space="preserve">1,462.94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10.33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1,459.41</w:t>
            </w:r>
          </w:p>
        </w:tc>
        <w:tc>
          <w:tcPr>
            <w:tcW w:w="960" w:type="dxa"/>
            <w:tcBorders/>
            <w:vAlign w:val="center"/>
          </w:tcPr>
          <w:p>
            <w:pPr>
              <w:jc w:val="right"/>
            </w:pPr>
            <w:r>
              <w:rPr>
                <w:rFonts w:ascii="宋体" w:eastAsia="宋体" w:hAnsi="宋体" w:cs="宋体"/>
                <w:b w:val="0"/>
                <w:i w:val="0"/>
                <w:color w:val="000000"/>
                <w:sz w:val="13"/>
              </w:rPr>
              <w:t xml:space="preserve">1,449.08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10.33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38.60</w:t>
            </w:r>
          </w:p>
        </w:tc>
        <w:tc>
          <w:tcPr>
            <w:tcW w:w="960" w:type="dxa"/>
            <w:tcBorders/>
            <w:vAlign w:val="center"/>
          </w:tcPr>
          <w:p>
            <w:pPr>
              <w:jc w:val="right"/>
            </w:pPr>
            <w:r>
              <w:rPr>
                <w:rFonts w:ascii="宋体" w:eastAsia="宋体" w:hAnsi="宋体" w:cs="宋体"/>
                <w:b w:val="0"/>
                <w:i w:val="0"/>
                <w:color w:val="000000"/>
                <w:sz w:val="13"/>
              </w:rPr>
              <w:t xml:space="preserve">38.60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2050203</w:t>
            </w:r>
          </w:p>
        </w:tc>
        <w:tc>
          <w:tcPr>
            <w:tcW w:w="3200" w:type="dxa"/>
            <w:tcBorders/>
            <w:vAlign w:val="center"/>
          </w:tcPr>
          <w:p>
            <w:pPr>
              <w:jc w:val="left"/>
            </w:pPr>
            <w:r>
              <w:rPr>
                <w:rFonts w:ascii="宋体" w:eastAsia="宋体" w:hAnsi="宋体" w:cs="宋体"/>
                <w:b w:val="0"/>
                <w:i w:val="0"/>
                <w:color w:val="000000"/>
                <w:sz w:val="13"/>
              </w:rPr>
              <w:t xml:space="preserve">初中教育</w:t>
            </w:r>
          </w:p>
        </w:tc>
        <w:tc>
          <w:tcPr>
            <w:tcW w:w="960" w:type="dxa"/>
            <w:tcBorders/>
            <w:vAlign w:val="center"/>
          </w:tcPr>
          <w:p>
            <w:pPr>
              <w:jc w:val="right"/>
            </w:pPr>
            <w:r>
              <w:rPr>
                <w:rFonts w:ascii="宋体" w:eastAsia="宋体" w:hAnsi="宋体" w:cs="宋体"/>
                <w:b w:val="0"/>
                <w:i w:val="0"/>
                <w:color w:val="000000"/>
                <w:sz w:val="13"/>
              </w:rPr>
              <w:t xml:space="preserve">1,410.48</w:t>
            </w:r>
          </w:p>
        </w:tc>
        <w:tc>
          <w:tcPr>
            <w:tcW w:w="960" w:type="dxa"/>
            <w:tcBorders/>
            <w:vAlign w:val="center"/>
          </w:tcPr>
          <w:p>
            <w:pPr>
              <w:jc w:val="right"/>
            </w:pPr>
            <w:r>
              <w:rPr>
                <w:rFonts w:ascii="宋体" w:eastAsia="宋体" w:hAnsi="宋体" w:cs="宋体"/>
                <w:b w:val="0"/>
                <w:i w:val="0"/>
                <w:color w:val="000000"/>
                <w:sz w:val="13"/>
              </w:rPr>
              <w:t xml:space="preserve">1,410.48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10.33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10.33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13.86</w:t>
            </w:r>
          </w:p>
        </w:tc>
        <w:tc>
          <w:tcPr>
            <w:tcW w:w="960" w:type="dxa"/>
            <w:tcBorders/>
            <w:vAlign w:val="center"/>
          </w:tcPr>
          <w:p>
            <w:pPr>
              <w:jc w:val="right"/>
            </w:pPr>
            <w:r>
              <w:rPr>
                <w:rFonts w:ascii="宋体" w:eastAsia="宋体" w:hAnsi="宋体" w:cs="宋体"/>
                <w:b w:val="0"/>
                <w:i w:val="0"/>
                <w:color w:val="000000"/>
                <w:sz w:val="13"/>
              </w:rPr>
              <w:t xml:space="preserve">13.86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13.86</w:t>
            </w:r>
          </w:p>
        </w:tc>
        <w:tc>
          <w:tcPr>
            <w:tcW w:w="960" w:type="dxa"/>
            <w:tcBorders/>
            <w:vAlign w:val="center"/>
          </w:tcPr>
          <w:p>
            <w:pPr>
              <w:jc w:val="right"/>
            </w:pPr>
            <w:r>
              <w:rPr>
                <w:rFonts w:ascii="宋体" w:eastAsia="宋体" w:hAnsi="宋体" w:cs="宋体"/>
                <w:b w:val="0"/>
                <w:i w:val="0"/>
                <w:color w:val="000000"/>
                <w:sz w:val="13"/>
              </w:rPr>
              <w:t xml:space="preserve">13.86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55.33</w:t>
            </w:r>
          </w:p>
        </w:tc>
        <w:tc>
          <w:tcPr>
            <w:tcW w:w="960" w:type="dxa"/>
            <w:tcBorders/>
            <w:vAlign w:val="center"/>
          </w:tcPr>
          <w:p>
            <w:pPr>
              <w:jc w:val="right"/>
            </w:pPr>
            <w:r>
              <w:rPr>
                <w:rFonts w:ascii="宋体" w:eastAsia="宋体" w:hAnsi="宋体" w:cs="宋体"/>
                <w:b w:val="0"/>
                <w:i w:val="0"/>
                <w:color w:val="000000"/>
                <w:sz w:val="13"/>
              </w:rPr>
              <w:t xml:space="preserve">55.33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55.33</w:t>
            </w:r>
          </w:p>
        </w:tc>
        <w:tc>
          <w:tcPr>
            <w:tcW w:w="960" w:type="dxa"/>
            <w:tcBorders/>
            <w:vAlign w:val="center"/>
          </w:tcPr>
          <w:p>
            <w:pPr>
              <w:jc w:val="right"/>
            </w:pPr>
            <w:r>
              <w:rPr>
                <w:rFonts w:ascii="宋体" w:eastAsia="宋体" w:hAnsi="宋体" w:cs="宋体"/>
                <w:b w:val="0"/>
                <w:i w:val="0"/>
                <w:color w:val="000000"/>
                <w:sz w:val="13"/>
              </w:rPr>
              <w:t xml:space="preserve">55.33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21.37</w:t>
            </w:r>
          </w:p>
        </w:tc>
        <w:tc>
          <w:tcPr>
            <w:tcW w:w="960" w:type="dxa"/>
            <w:tcBorders/>
            <w:vAlign w:val="center"/>
          </w:tcPr>
          <w:p>
            <w:pPr>
              <w:jc w:val="right"/>
            </w:pPr>
            <w:r>
              <w:rPr>
                <w:rFonts w:ascii="宋体" w:eastAsia="宋体" w:hAnsi="宋体" w:cs="宋体"/>
                <w:b w:val="0"/>
                <w:i w:val="0"/>
                <w:color w:val="000000"/>
                <w:sz w:val="13"/>
              </w:rPr>
              <w:t xml:space="preserve">21.37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33.96</w:t>
            </w:r>
          </w:p>
        </w:tc>
        <w:tc>
          <w:tcPr>
            <w:tcW w:w="960" w:type="dxa"/>
            <w:tcBorders/>
            <w:vAlign w:val="center"/>
          </w:tcPr>
          <w:p>
            <w:pPr>
              <w:jc w:val="right"/>
            </w:pPr>
            <w:r>
              <w:rPr>
                <w:rFonts w:ascii="宋体" w:eastAsia="宋体" w:hAnsi="宋体" w:cs="宋体"/>
                <w:b w:val="0"/>
                <w:i w:val="0"/>
                <w:color w:val="000000"/>
                <w:sz w:val="13"/>
              </w:rPr>
              <w:t xml:space="preserve">33.96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单位：辽宁省沈阳市第七十二中学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1,529.18</w:t>
            </w:r>
          </w:p>
        </w:tc>
        <w:tc>
          <w:tcPr>
            <w:tcW w:w="1060" w:type="dxa"/>
            <w:tcBorders/>
            <w:vAlign w:val="center"/>
          </w:tcPr>
          <w:p>
            <w:pPr>
              <w:jc w:val="right"/>
            </w:pPr>
            <w:r>
              <w:rPr>
                <w:rFonts w:ascii="宋体" w:eastAsia="宋体" w:hAnsi="宋体" w:cs="宋体"/>
                <w:b/>
                <w:i w:val="0"/>
                <w:color w:val="000000"/>
                <w:sz w:val="14"/>
              </w:rPr>
              <w:t xml:space="preserve">1,244.26</w:t>
            </w:r>
          </w:p>
        </w:tc>
        <w:tc>
          <w:tcPr>
            <w:tcW w:w="1060" w:type="dxa"/>
            <w:tcBorders/>
            <w:vAlign w:val="center"/>
          </w:tcPr>
          <w:p>
            <w:pPr>
              <w:jc w:val="right"/>
            </w:pPr>
            <w:r>
              <w:rPr>
                <w:rFonts w:ascii="宋体" w:eastAsia="宋体" w:hAnsi="宋体" w:cs="宋体"/>
                <w:b/>
                <w:i w:val="0"/>
                <w:color w:val="000000"/>
                <w:sz w:val="14"/>
              </w:rPr>
              <w:t xml:space="preserve">284.92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1,473.85</w:t>
            </w:r>
          </w:p>
        </w:tc>
        <w:tc>
          <w:tcPr>
            <w:tcW w:w="1060" w:type="dxa"/>
            <w:tcBorders/>
            <w:vAlign w:val="center"/>
          </w:tcPr>
          <w:p>
            <w:pPr>
              <w:jc w:val="right"/>
            </w:pPr>
            <w:r>
              <w:rPr>
                <w:rFonts w:ascii="宋体" w:eastAsia="宋体" w:hAnsi="宋体" w:cs="宋体"/>
                <w:b w:val="0"/>
                <w:i w:val="0"/>
                <w:color w:val="000000"/>
                <w:sz w:val="14"/>
              </w:rPr>
              <w:t xml:space="preserve">1,188.93</w:t>
            </w:r>
          </w:p>
        </w:tc>
        <w:tc>
          <w:tcPr>
            <w:tcW w:w="1060" w:type="dxa"/>
            <w:tcBorders/>
            <w:vAlign w:val="center"/>
          </w:tcPr>
          <w:p>
            <w:pPr>
              <w:jc w:val="right"/>
            </w:pPr>
            <w:r>
              <w:rPr>
                <w:rFonts w:ascii="宋体" w:eastAsia="宋体" w:hAnsi="宋体" w:cs="宋体"/>
                <w:b w:val="0"/>
                <w:i w:val="0"/>
                <w:color w:val="000000"/>
                <w:sz w:val="14"/>
              </w:rPr>
              <w:t xml:space="preserve">284.92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1,459.99</w:t>
            </w:r>
          </w:p>
        </w:tc>
        <w:tc>
          <w:tcPr>
            <w:tcW w:w="1060" w:type="dxa"/>
            <w:tcBorders/>
            <w:vAlign w:val="center"/>
          </w:tcPr>
          <w:p>
            <w:pPr>
              <w:jc w:val="right"/>
            </w:pPr>
            <w:r>
              <w:rPr>
                <w:rFonts w:ascii="宋体" w:eastAsia="宋体" w:hAnsi="宋体" w:cs="宋体"/>
                <w:b w:val="0"/>
                <w:i w:val="0"/>
                <w:color w:val="000000"/>
                <w:sz w:val="14"/>
              </w:rPr>
              <w:t xml:space="preserve">1,188.93</w:t>
            </w:r>
          </w:p>
        </w:tc>
        <w:tc>
          <w:tcPr>
            <w:tcW w:w="1060" w:type="dxa"/>
            <w:tcBorders/>
            <w:vAlign w:val="center"/>
          </w:tcPr>
          <w:p>
            <w:pPr>
              <w:jc w:val="right"/>
            </w:pPr>
            <w:r>
              <w:rPr>
                <w:rFonts w:ascii="宋体" w:eastAsia="宋体" w:hAnsi="宋体" w:cs="宋体"/>
                <w:b w:val="0"/>
                <w:i w:val="0"/>
                <w:color w:val="000000"/>
                <w:sz w:val="14"/>
              </w:rPr>
              <w:t xml:space="preserve">271.06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38.60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38.60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2050203</w:t>
            </w:r>
          </w:p>
        </w:tc>
        <w:tc>
          <w:tcPr>
            <w:tcW w:w="3440" w:type="dxa"/>
            <w:tcBorders/>
            <w:vAlign w:val="center"/>
          </w:tcPr>
          <w:p>
            <w:pPr>
              <w:jc w:val="left"/>
            </w:pPr>
            <w:r>
              <w:rPr>
                <w:rFonts w:ascii="宋体" w:eastAsia="宋体" w:hAnsi="宋体" w:cs="宋体"/>
                <w:b w:val="0"/>
                <w:i w:val="0"/>
                <w:color w:val="000000"/>
                <w:sz w:val="14"/>
              </w:rPr>
              <w:t xml:space="preserve">初中教育</w:t>
            </w:r>
          </w:p>
        </w:tc>
        <w:tc>
          <w:tcPr>
            <w:tcW w:w="1060" w:type="dxa"/>
            <w:tcBorders/>
            <w:vAlign w:val="center"/>
          </w:tcPr>
          <w:p>
            <w:pPr>
              <w:jc w:val="right"/>
            </w:pPr>
            <w:r>
              <w:rPr>
                <w:rFonts w:ascii="宋体" w:eastAsia="宋体" w:hAnsi="宋体" w:cs="宋体"/>
                <w:b w:val="0"/>
                <w:i w:val="0"/>
                <w:color w:val="000000"/>
                <w:sz w:val="14"/>
              </w:rPr>
              <w:t xml:space="preserve">1,410.48</w:t>
            </w:r>
          </w:p>
        </w:tc>
        <w:tc>
          <w:tcPr>
            <w:tcW w:w="1060" w:type="dxa"/>
            <w:tcBorders/>
            <w:vAlign w:val="center"/>
          </w:tcPr>
          <w:p>
            <w:pPr>
              <w:jc w:val="right"/>
            </w:pPr>
            <w:r>
              <w:rPr>
                <w:rFonts w:ascii="宋体" w:eastAsia="宋体" w:hAnsi="宋体" w:cs="宋体"/>
                <w:b w:val="0"/>
                <w:i w:val="0"/>
                <w:color w:val="000000"/>
                <w:sz w:val="14"/>
              </w:rPr>
              <w:t xml:space="preserve">1,188.93</w:t>
            </w:r>
          </w:p>
        </w:tc>
        <w:tc>
          <w:tcPr>
            <w:tcW w:w="1060" w:type="dxa"/>
            <w:tcBorders/>
            <w:vAlign w:val="center"/>
          </w:tcPr>
          <w:p>
            <w:pPr>
              <w:jc w:val="right"/>
            </w:pPr>
            <w:r>
              <w:rPr>
                <w:rFonts w:ascii="宋体" w:eastAsia="宋体" w:hAnsi="宋体" w:cs="宋体"/>
                <w:b w:val="0"/>
                <w:i w:val="0"/>
                <w:color w:val="000000"/>
                <w:sz w:val="14"/>
              </w:rPr>
              <w:t xml:space="preserve">221.55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10.91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13.86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13.86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13.86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13.86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55.33</w:t>
            </w:r>
          </w:p>
        </w:tc>
        <w:tc>
          <w:tcPr>
            <w:tcW w:w="1060" w:type="dxa"/>
            <w:tcBorders/>
            <w:vAlign w:val="center"/>
          </w:tcPr>
          <w:p>
            <w:pPr>
              <w:jc w:val="right"/>
            </w:pPr>
            <w:r>
              <w:rPr>
                <w:rFonts w:ascii="宋体" w:eastAsia="宋体" w:hAnsi="宋体" w:cs="宋体"/>
                <w:b w:val="0"/>
                <w:i w:val="0"/>
                <w:color w:val="000000"/>
                <w:sz w:val="14"/>
              </w:rPr>
              <w:t xml:space="preserve">55.33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55.33</w:t>
            </w:r>
          </w:p>
        </w:tc>
        <w:tc>
          <w:tcPr>
            <w:tcW w:w="1060" w:type="dxa"/>
            <w:tcBorders/>
            <w:vAlign w:val="center"/>
          </w:tcPr>
          <w:p>
            <w:pPr>
              <w:jc w:val="right"/>
            </w:pPr>
            <w:r>
              <w:rPr>
                <w:rFonts w:ascii="宋体" w:eastAsia="宋体" w:hAnsi="宋体" w:cs="宋体"/>
                <w:b w:val="0"/>
                <w:i w:val="0"/>
                <w:color w:val="000000"/>
                <w:sz w:val="14"/>
              </w:rPr>
              <w:t xml:space="preserve">55.33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21.37</w:t>
            </w:r>
          </w:p>
        </w:tc>
        <w:tc>
          <w:tcPr>
            <w:tcW w:w="1060" w:type="dxa"/>
            <w:tcBorders/>
            <w:vAlign w:val="center"/>
          </w:tcPr>
          <w:p>
            <w:pPr>
              <w:jc w:val="right"/>
            </w:pPr>
            <w:r>
              <w:rPr>
                <w:rFonts w:ascii="宋体" w:eastAsia="宋体" w:hAnsi="宋体" w:cs="宋体"/>
                <w:b w:val="0"/>
                <w:i w:val="0"/>
                <w:color w:val="000000"/>
                <w:sz w:val="14"/>
              </w:rPr>
              <w:t xml:space="preserve">21.37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33.96</w:t>
            </w:r>
          </w:p>
        </w:tc>
        <w:tc>
          <w:tcPr>
            <w:tcW w:w="1060" w:type="dxa"/>
            <w:tcBorders/>
            <w:vAlign w:val="center"/>
          </w:tcPr>
          <w:p>
            <w:pPr>
              <w:jc w:val="right"/>
            </w:pPr>
            <w:r>
              <w:rPr>
                <w:rFonts w:ascii="宋体" w:eastAsia="宋体" w:hAnsi="宋体" w:cs="宋体"/>
                <w:b w:val="0"/>
                <w:i w:val="0"/>
                <w:color w:val="000000"/>
                <w:sz w:val="14"/>
              </w:rPr>
              <w:t xml:space="preserve">33.96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单位：辽宁省沈阳市第七十二中学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1,518.27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1,462.94</w:t>
            </w:r>
          </w:p>
        </w:tc>
        <w:tc>
          <w:tcPr>
            <w:tcW w:w="1100" w:type="dxa"/>
            <w:tcBorders/>
            <w:vAlign w:val="center"/>
          </w:tcPr>
          <w:p>
            <w:pPr>
              <w:jc w:val="right"/>
            </w:pPr>
            <w:r>
              <w:rPr>
                <w:rFonts w:ascii="宋体" w:eastAsia="宋体" w:hAnsi="宋体" w:cs="宋体"/>
                <w:b w:val="0"/>
                <w:i w:val="0"/>
                <w:color w:val="000000"/>
                <w:sz w:val="14"/>
              </w:rPr>
              <w:t xml:space="preserve">1,462.94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55.34</w:t>
            </w:r>
          </w:p>
        </w:tc>
        <w:tc>
          <w:tcPr>
            <w:tcW w:w="1100" w:type="dxa"/>
            <w:tcBorders/>
            <w:vAlign w:val="center"/>
          </w:tcPr>
          <w:p>
            <w:pPr>
              <w:jc w:val="right"/>
            </w:pPr>
            <w:r>
              <w:rPr>
                <w:rFonts w:ascii="宋体" w:eastAsia="宋体" w:hAnsi="宋体" w:cs="宋体"/>
                <w:b w:val="0"/>
                <w:i w:val="0"/>
                <w:color w:val="000000"/>
                <w:sz w:val="14"/>
              </w:rPr>
              <w:t xml:space="preserve">55.34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1,518.27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1,518.27</w:t>
            </w:r>
          </w:p>
        </w:tc>
        <w:tc>
          <w:tcPr>
            <w:tcW w:w="1100" w:type="dxa"/>
            <w:tcBorders/>
            <w:vAlign w:val="center"/>
          </w:tcPr>
          <w:p>
            <w:pPr>
              <w:jc w:val="right"/>
            </w:pPr>
            <w:r>
              <w:rPr>
                <w:rFonts w:ascii="宋体" w:eastAsia="宋体" w:hAnsi="宋体" w:cs="宋体"/>
                <w:b w:val="0"/>
                <w:i w:val="0"/>
                <w:color w:val="000000"/>
                <w:sz w:val="14"/>
              </w:rPr>
              <w:t xml:space="preserve">1,518.27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1,518.27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1,518.27</w:t>
            </w:r>
          </w:p>
        </w:tc>
        <w:tc>
          <w:tcPr>
            <w:tcW w:w="1100" w:type="dxa"/>
            <w:tcBorders/>
            <w:vAlign w:val="center"/>
          </w:tcPr>
          <w:p>
            <w:pPr>
              <w:jc w:val="right"/>
            </w:pPr>
            <w:r>
              <w:rPr>
                <w:rFonts w:ascii="宋体" w:eastAsia="宋体" w:hAnsi="宋体" w:cs="宋体"/>
                <w:b w:val="0"/>
                <w:i w:val="0"/>
                <w:color w:val="000000"/>
                <w:sz w:val="14"/>
              </w:rPr>
              <w:t xml:space="preserve">1,518.27</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单位：辽宁省沈阳市第七十二中学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1,518.27</w:t>
            </w:r>
          </w:p>
        </w:tc>
        <w:tc>
          <w:tcPr>
            <w:tcW w:w="1780" w:type="dxa"/>
            <w:tcBorders/>
            <w:vAlign w:val="center"/>
          </w:tcPr>
          <w:p>
            <w:pPr>
              <w:jc w:val="right"/>
            </w:pPr>
            <w:r>
              <w:rPr>
                <w:rFonts w:ascii="宋体" w:eastAsia="宋体" w:hAnsi="宋体" w:cs="宋体"/>
                <w:b/>
                <w:i w:val="0"/>
                <w:color w:val="000000"/>
                <w:sz w:val="18"/>
              </w:rPr>
              <w:t xml:space="preserve">1,244.26</w:t>
            </w:r>
          </w:p>
        </w:tc>
        <w:tc>
          <w:tcPr>
            <w:tcW w:w="1772" w:type="dxa"/>
            <w:tcBorders/>
            <w:vAlign w:val="center"/>
          </w:tcPr>
          <w:p>
            <w:pPr>
              <w:jc w:val="right"/>
            </w:pPr>
            <w:r>
              <w:rPr>
                <w:rFonts w:ascii="宋体" w:eastAsia="宋体" w:hAnsi="宋体" w:cs="宋体"/>
                <w:b/>
                <w:i w:val="0"/>
                <w:color w:val="000000"/>
                <w:sz w:val="18"/>
              </w:rPr>
              <w:t xml:space="preserve">274.01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1,462.94</w:t>
            </w:r>
          </w:p>
        </w:tc>
        <w:tc>
          <w:tcPr>
            <w:tcW w:w="1780" w:type="dxa"/>
            <w:tcBorders/>
            <w:vAlign w:val="center"/>
          </w:tcPr>
          <w:p>
            <w:pPr>
              <w:jc w:val="right"/>
            </w:pPr>
            <w:r>
              <w:rPr>
                <w:rFonts w:ascii="宋体" w:eastAsia="宋体" w:hAnsi="宋体" w:cs="宋体"/>
                <w:b w:val="0"/>
                <w:i w:val="0"/>
                <w:color w:val="000000"/>
                <w:sz w:val="18"/>
              </w:rPr>
              <w:t xml:space="preserve">1,188.93</w:t>
            </w:r>
          </w:p>
        </w:tc>
        <w:tc>
          <w:tcPr>
            <w:tcW w:w="1772" w:type="dxa"/>
            <w:tcBorders/>
            <w:vAlign w:val="center"/>
          </w:tcPr>
          <w:p>
            <w:pPr>
              <w:jc w:val="right"/>
            </w:pPr>
            <w:r>
              <w:rPr>
                <w:rFonts w:ascii="宋体" w:eastAsia="宋体" w:hAnsi="宋体" w:cs="宋体"/>
                <w:b w:val="0"/>
                <w:i w:val="0"/>
                <w:color w:val="000000"/>
                <w:sz w:val="18"/>
              </w:rPr>
              <w:t xml:space="preserve">274.01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1,449.08</w:t>
            </w:r>
          </w:p>
        </w:tc>
        <w:tc>
          <w:tcPr>
            <w:tcW w:w="1780" w:type="dxa"/>
            <w:tcBorders/>
            <w:vAlign w:val="center"/>
          </w:tcPr>
          <w:p>
            <w:pPr>
              <w:jc w:val="right"/>
            </w:pPr>
            <w:r>
              <w:rPr>
                <w:rFonts w:ascii="宋体" w:eastAsia="宋体" w:hAnsi="宋体" w:cs="宋体"/>
                <w:b w:val="0"/>
                <w:i w:val="0"/>
                <w:color w:val="000000"/>
                <w:sz w:val="18"/>
              </w:rPr>
              <w:t xml:space="preserve">1,188.93</w:t>
            </w:r>
          </w:p>
        </w:tc>
        <w:tc>
          <w:tcPr>
            <w:tcW w:w="1772" w:type="dxa"/>
            <w:tcBorders/>
            <w:vAlign w:val="center"/>
          </w:tcPr>
          <w:p>
            <w:pPr>
              <w:jc w:val="right"/>
            </w:pPr>
            <w:r>
              <w:rPr>
                <w:rFonts w:ascii="宋体" w:eastAsia="宋体" w:hAnsi="宋体" w:cs="宋体"/>
                <w:b w:val="0"/>
                <w:i w:val="0"/>
                <w:color w:val="000000"/>
                <w:sz w:val="18"/>
              </w:rPr>
              <w:t xml:space="preserve">260.15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38.60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38.60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2050203</w:t>
            </w:r>
          </w:p>
        </w:tc>
        <w:tc>
          <w:tcPr>
            <w:tcW w:w="4300" w:type="dxa"/>
            <w:tcBorders/>
            <w:vAlign w:val="center"/>
          </w:tcPr>
          <w:p>
            <w:pPr>
              <w:jc w:val="left"/>
            </w:pPr>
            <w:r>
              <w:rPr>
                <w:rFonts w:ascii="宋体" w:eastAsia="宋体" w:hAnsi="宋体" w:cs="宋体"/>
                <w:b w:val="0"/>
                <w:i w:val="0"/>
                <w:color w:val="000000"/>
                <w:sz w:val="18"/>
              </w:rPr>
              <w:t xml:space="preserve">初中教育</w:t>
            </w:r>
          </w:p>
        </w:tc>
        <w:tc>
          <w:tcPr>
            <w:tcW w:w="1780" w:type="dxa"/>
            <w:tcBorders/>
            <w:vAlign w:val="center"/>
          </w:tcPr>
          <w:p>
            <w:pPr>
              <w:jc w:val="right"/>
            </w:pPr>
            <w:r>
              <w:rPr>
                <w:rFonts w:ascii="宋体" w:eastAsia="宋体" w:hAnsi="宋体" w:cs="宋体"/>
                <w:b w:val="0"/>
                <w:i w:val="0"/>
                <w:color w:val="000000"/>
                <w:sz w:val="18"/>
              </w:rPr>
              <w:t xml:space="preserve">1,410.48</w:t>
            </w:r>
          </w:p>
        </w:tc>
        <w:tc>
          <w:tcPr>
            <w:tcW w:w="1780" w:type="dxa"/>
            <w:tcBorders/>
            <w:vAlign w:val="center"/>
          </w:tcPr>
          <w:p>
            <w:pPr>
              <w:jc w:val="right"/>
            </w:pPr>
            <w:r>
              <w:rPr>
                <w:rFonts w:ascii="宋体" w:eastAsia="宋体" w:hAnsi="宋体" w:cs="宋体"/>
                <w:b w:val="0"/>
                <w:i w:val="0"/>
                <w:color w:val="000000"/>
                <w:sz w:val="18"/>
              </w:rPr>
              <w:t xml:space="preserve">1,188.93</w:t>
            </w:r>
          </w:p>
        </w:tc>
        <w:tc>
          <w:tcPr>
            <w:tcW w:w="1772" w:type="dxa"/>
            <w:tcBorders/>
            <w:vAlign w:val="center"/>
          </w:tcPr>
          <w:p>
            <w:pPr>
              <w:jc w:val="right"/>
            </w:pPr>
            <w:r>
              <w:rPr>
                <w:rFonts w:ascii="宋体" w:eastAsia="宋体" w:hAnsi="宋体" w:cs="宋体"/>
                <w:b w:val="0"/>
                <w:i w:val="0"/>
                <w:color w:val="000000"/>
                <w:sz w:val="18"/>
              </w:rPr>
              <w:t xml:space="preserve">221.55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13.86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13.86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13.86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13.86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55.33</w:t>
            </w:r>
          </w:p>
        </w:tc>
        <w:tc>
          <w:tcPr>
            <w:tcW w:w="1780" w:type="dxa"/>
            <w:tcBorders/>
            <w:vAlign w:val="center"/>
          </w:tcPr>
          <w:p>
            <w:pPr>
              <w:jc w:val="right"/>
            </w:pPr>
            <w:r>
              <w:rPr>
                <w:rFonts w:ascii="宋体" w:eastAsia="宋体" w:hAnsi="宋体" w:cs="宋体"/>
                <w:b w:val="0"/>
                <w:i w:val="0"/>
                <w:color w:val="000000"/>
                <w:sz w:val="18"/>
              </w:rPr>
              <w:t xml:space="preserve">55.33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55.33</w:t>
            </w:r>
          </w:p>
        </w:tc>
        <w:tc>
          <w:tcPr>
            <w:tcW w:w="1780" w:type="dxa"/>
            <w:tcBorders/>
            <w:vAlign w:val="center"/>
          </w:tcPr>
          <w:p>
            <w:pPr>
              <w:jc w:val="right"/>
            </w:pPr>
            <w:r>
              <w:rPr>
                <w:rFonts w:ascii="宋体" w:eastAsia="宋体" w:hAnsi="宋体" w:cs="宋体"/>
                <w:b w:val="0"/>
                <w:i w:val="0"/>
                <w:color w:val="000000"/>
                <w:sz w:val="18"/>
              </w:rPr>
              <w:t xml:space="preserve">55.33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21.37</w:t>
            </w:r>
          </w:p>
        </w:tc>
        <w:tc>
          <w:tcPr>
            <w:tcW w:w="1780" w:type="dxa"/>
            <w:tcBorders/>
            <w:vAlign w:val="center"/>
          </w:tcPr>
          <w:p>
            <w:pPr>
              <w:jc w:val="right"/>
            </w:pPr>
            <w:r>
              <w:rPr>
                <w:rFonts w:ascii="宋体" w:eastAsia="宋体" w:hAnsi="宋体" w:cs="宋体"/>
                <w:b w:val="0"/>
                <w:i w:val="0"/>
                <w:color w:val="000000"/>
                <w:sz w:val="18"/>
              </w:rPr>
              <w:t xml:space="preserve">21.37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33.96</w:t>
            </w:r>
          </w:p>
        </w:tc>
        <w:tc>
          <w:tcPr>
            <w:tcW w:w="1780" w:type="dxa"/>
            <w:tcBorders/>
            <w:vAlign w:val="center"/>
          </w:tcPr>
          <w:p>
            <w:pPr>
              <w:jc w:val="right"/>
            </w:pPr>
            <w:r>
              <w:rPr>
                <w:rFonts w:ascii="宋体" w:eastAsia="宋体" w:hAnsi="宋体" w:cs="宋体"/>
                <w:b w:val="0"/>
                <w:i w:val="0"/>
                <w:color w:val="000000"/>
                <w:sz w:val="18"/>
              </w:rPr>
              <w:t xml:space="preserve">33.96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单位：辽宁省沈阳市第七十二中学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1,155.13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14.36</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455.40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1.53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135.18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40.41</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12.02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261.70</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149.43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0.95</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33.96</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0.13</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63.28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3.75</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74.78</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0.74</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21.37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36.44</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16.96</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jc w:val="right"/>
            </w:pPr>
            <w:r>
              <w:rPr>
                <w:rFonts w:ascii="宋体" w:eastAsia="宋体" w:hAnsi="宋体" w:cs="宋体"/>
                <w:b w:val="0"/>
                <w:i w:val="0"/>
                <w:color w:val="000000"/>
                <w:sz w:val="14"/>
              </w:rPr>
              <w:t xml:space="preserve">2.44</w:t>
            </w: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8.56</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1,229.91</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14.36</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单位：辽宁省沈阳市第七十二中学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单位：辽宁省沈阳市第七十二中学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单位：辽宁省沈阳市第七十二中学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023010沈阳市第七十二中学-210112000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1391.08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1391.08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106.35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106.34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1123.56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1123.56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各项绩效目标顺利开展，及时完成。</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各项绩效目标顺利开展，按时完成。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教育培训参加人数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社会公众对教育事业发展满意度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实施专业结构优化调整</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人事制度改革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沈阳市第七十二中学-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沈阳市第七十二中学-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102.47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102.47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教育教学经费-2024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沈阳市第七十二中学-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六十年代精简退职职工生活补助-2024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沈阳市第七十二中学-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东陵区人民法院民事判决书【2010】东陵民-初字第111号；《关于调整60年代精简退职职工生活待遇标准意见的通知》（辽政办发【2012】65号）63中0.74万元、72中1.42万元、73中0.68万元，11小0.69万元、坎小3.79万元等六十年代精简人员经费7.3万元。六十年代精简人员经费为三保类资金，需要进行保障，全区涉及无所学校，严格按照人事审批金额进行申请资金，编制部门预算。项目复核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东陵区人民法院民事判决书【2010】东陵民-初字第111号；《关于调整60年代精简退职职工生活待遇标准意见的通知》（辽政办发【2012】65号）63中0.74万元、72中1.42万元、73中0.68万元，11小0.69万元、坎小3.79万元等六十年代精简人员经费7.3万元。六十年代精简人员经费为三保类资金，需要进行保障，全区涉及无所学校，严格按照人事审批金额进行申请资金，编制部门预算。项目复核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沈阳市第七十二中学-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学前奖补-2024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沈阳市第七十二中学-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沈阳市第七十二中学-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幼儿园保育费-2024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沈阳市第七十二中学-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