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辽宁省沈阳市第七十三中学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辽宁省沈阳市第七十三中学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辽宁省沈阳市第七十三中学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辽宁省沈阳市第七十三中学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辽宁省沈阳市第七十三中学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辽宁省沈阳市第七十三中学概况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 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辽宁省沈阳市第七十三中学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辽宁省沈阳市第七十三中学纳入浑南区教育局2024年决算编制范围，本单位无下设机构。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1628.05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1602.22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98.41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1602.22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25.83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1.59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主要是非财政拨款结转结余等。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增加1.13万元，增长0.07%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工资保险等人员经费增加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1602.80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1283.11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80.05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工资福利支出1211.92万元；商品和服务支出12.48万元；对个人和家庭的补助58.71万元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319.69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19.95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主要包括初中教育支出，学前教育支出，其他普通教育支出等业务支出。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增加1.71万元，增长0.11%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人员经费减少和项目经费增加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25.25</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主要是非财政拨款结转结余等原因形成的结余。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减少0.58万元，降低2.24%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用于专用设备购置</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1602.22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1283.11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319.11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增加42.63万元，增长2.73%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人员经费减少和项目经费增加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112.37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89.99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2024年度一般公共预算财政拨款支出1602.22万元。按支出功能分类科目分，包括：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1.教育支出1558.87万元，具体包括：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（1）教育支出（类）普通教育（款）学前教育（项）13.35万元,主要是劳务费等支出，完成年初预算的100%，决算数与年初预算数存在差异的主要原因是决算与预算相同，不存在差异。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初中教育（项）1528.19万元,主要是工资福利、商品和服务、个人和家庭的补助等支出，完成年初预算的112%，决算数与年初预算数存在差异的主要原因是决算与预算基本相同，不存在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17.33万元,主要是劳务费、电费等支出，完成年初预算的100%，决算数与年初预算数存在差异的主要原因是决算与预算相同，不存在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2.社会保障和就业支出43.35万元，具体包括：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17.62万元,主要是离退休教师取暖费等支出，完成年初预算的100%，决算数与年初预算数存在差异的主要原因是决算与预算相同，不存在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25.73万元,主要是退休教师补职业年金等支出，完成年初预算的100%，决算数与年初预算数存在差异的主要原因是决算与预算相同，不存在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1283.11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1270.63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12.48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，其他用车主要是已报废公务车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组织对1个单位开展整体绩效自评，涉及资金1425.84万元，自评平均分10分。附《部门（单位）整体绩效自评表》。</w:t>
        <w:br/>
        <w:t xml:space="preserve">    2.项目绩效自评情况及结果。</w:t>
        <w:br/>
        <w:t xml:space="preserve">    2024年本部门不涉及项目绩效自评。</w:t>
        <w:br/>
        <w:t xml:space="preserve">    3.部门重点评价情况及结果。</w:t>
        <w:br/>
        <w:t xml:space="preserve">    我部门组织对“基本支出公用经费(保基本民生)”“基本支出人员经费(刚性)”2 个项目开展了部门重点评价，涉及资金172.07万元（其中：一般公共预算资金172.07万元，政府性基金预算资金0万元，国有资本经营预算资金0万元）。评价平均分为10分，评级情况为优2个、良0个、中0个、差0个。其中，未委托第三方机构开展绩效评价。通过部门绩效评价发现主要存在以下问题：存在低效资金。下一步将采取以下措施加以改进：继续加强资金管理，发挥资金效益。</w:t>
        <w:br/>
        <w:t xml:space="preserve">    4.财政重点评价情况及结果。</w:t>
        <w:br/>
        <w:t xml:space="preserve">    该部门整体绩效自评效果较好，望你单位继续加强资金管理，发挥资金效益。</w:t>
        <w:br/>
        <w:t xml:space="preserve">    5.其他。</w:t>
        <w:br/>
        <w:t xml:space="preserve">    明确预算执行目标和规划，建立有效的预算执行监控机制，提高预算管理的效能，加强各部门之间的沟通和协调。</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16.教育支出（类）普通教育（款）初中教育（项）：反映各部门举办的初中教育支出。政府各部门对社会组织等举办的初中的资助，如捐赠、补贴等。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1,602.22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1,559.45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43.35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1,602.22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1,602.80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25.83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25.25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1,628.05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1,628.05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1,602.22</w:t>
            </w:r>
          </w:p>
        </w:tc>
        <w:tc>
          <w:tcPr>
            <w:tcW w:w="960" w:type="dxa"/>
            <w:tcBorders/>
            <w:vAlign w:val="center"/>
          </w:tcPr>
          <w:p>
            <w:pPr>
              <w:jc w:val="right"/>
            </w:pPr>
            <w:r>
              <w:rPr>
                <w:rFonts w:ascii="宋体" w:eastAsia="宋体" w:hAnsi="宋体" w:cs="宋体"/>
                <w:b/>
                <w:i w:val="0"/>
                <w:color w:val="000000"/>
                <w:sz w:val="13"/>
              </w:rPr>
              <w:t xml:space="preserve">1,602.22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1,558.87</w:t>
            </w:r>
          </w:p>
        </w:tc>
        <w:tc>
          <w:tcPr>
            <w:tcW w:w="960" w:type="dxa"/>
            <w:tcBorders/>
            <w:vAlign w:val="center"/>
          </w:tcPr>
          <w:p>
            <w:pPr>
              <w:jc w:val="right"/>
            </w:pPr>
            <w:r>
              <w:rPr>
                <w:rFonts w:ascii="宋体" w:eastAsia="宋体" w:hAnsi="宋体" w:cs="宋体"/>
                <w:b w:val="0"/>
                <w:i w:val="0"/>
                <w:color w:val="000000"/>
                <w:sz w:val="13"/>
              </w:rPr>
              <w:t xml:space="preserve">1,558.87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1,541.54</w:t>
            </w:r>
          </w:p>
        </w:tc>
        <w:tc>
          <w:tcPr>
            <w:tcW w:w="960" w:type="dxa"/>
            <w:tcBorders/>
            <w:vAlign w:val="center"/>
          </w:tcPr>
          <w:p>
            <w:pPr>
              <w:jc w:val="right"/>
            </w:pPr>
            <w:r>
              <w:rPr>
                <w:rFonts w:ascii="宋体" w:eastAsia="宋体" w:hAnsi="宋体" w:cs="宋体"/>
                <w:b w:val="0"/>
                <w:i w:val="0"/>
                <w:color w:val="000000"/>
                <w:sz w:val="13"/>
              </w:rPr>
              <w:t xml:space="preserve">1,541.54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13.35</w:t>
            </w:r>
          </w:p>
        </w:tc>
        <w:tc>
          <w:tcPr>
            <w:tcW w:w="960" w:type="dxa"/>
            <w:tcBorders/>
            <w:vAlign w:val="center"/>
          </w:tcPr>
          <w:p>
            <w:pPr>
              <w:jc w:val="right"/>
            </w:pPr>
            <w:r>
              <w:rPr>
                <w:rFonts w:ascii="宋体" w:eastAsia="宋体" w:hAnsi="宋体" w:cs="宋体"/>
                <w:b w:val="0"/>
                <w:i w:val="0"/>
                <w:color w:val="000000"/>
                <w:sz w:val="13"/>
              </w:rPr>
              <w:t xml:space="preserve">13.35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1,528.19</w:t>
            </w:r>
          </w:p>
        </w:tc>
        <w:tc>
          <w:tcPr>
            <w:tcW w:w="960" w:type="dxa"/>
            <w:tcBorders/>
            <w:vAlign w:val="center"/>
          </w:tcPr>
          <w:p>
            <w:pPr>
              <w:jc w:val="right"/>
            </w:pPr>
            <w:r>
              <w:rPr>
                <w:rFonts w:ascii="宋体" w:eastAsia="宋体" w:hAnsi="宋体" w:cs="宋体"/>
                <w:b w:val="0"/>
                <w:i w:val="0"/>
                <w:color w:val="000000"/>
                <w:sz w:val="13"/>
              </w:rPr>
              <w:t xml:space="preserve">1,528.19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17.33</w:t>
            </w:r>
          </w:p>
        </w:tc>
        <w:tc>
          <w:tcPr>
            <w:tcW w:w="960" w:type="dxa"/>
            <w:tcBorders/>
            <w:vAlign w:val="center"/>
          </w:tcPr>
          <w:p>
            <w:pPr>
              <w:jc w:val="right"/>
            </w:pPr>
            <w:r>
              <w:rPr>
                <w:rFonts w:ascii="宋体" w:eastAsia="宋体" w:hAnsi="宋体" w:cs="宋体"/>
                <w:b w:val="0"/>
                <w:i w:val="0"/>
                <w:color w:val="000000"/>
                <w:sz w:val="13"/>
              </w:rPr>
              <w:t xml:space="preserve">17.33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17.33</w:t>
            </w:r>
          </w:p>
        </w:tc>
        <w:tc>
          <w:tcPr>
            <w:tcW w:w="960" w:type="dxa"/>
            <w:tcBorders/>
            <w:vAlign w:val="center"/>
          </w:tcPr>
          <w:p>
            <w:pPr>
              <w:jc w:val="right"/>
            </w:pPr>
            <w:r>
              <w:rPr>
                <w:rFonts w:ascii="宋体" w:eastAsia="宋体" w:hAnsi="宋体" w:cs="宋体"/>
                <w:b w:val="0"/>
                <w:i w:val="0"/>
                <w:color w:val="000000"/>
                <w:sz w:val="13"/>
              </w:rPr>
              <w:t xml:space="preserve">17.33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43.35</w:t>
            </w:r>
          </w:p>
        </w:tc>
        <w:tc>
          <w:tcPr>
            <w:tcW w:w="960" w:type="dxa"/>
            <w:tcBorders/>
            <w:vAlign w:val="center"/>
          </w:tcPr>
          <w:p>
            <w:pPr>
              <w:jc w:val="right"/>
            </w:pPr>
            <w:r>
              <w:rPr>
                <w:rFonts w:ascii="宋体" w:eastAsia="宋体" w:hAnsi="宋体" w:cs="宋体"/>
                <w:b w:val="0"/>
                <w:i w:val="0"/>
                <w:color w:val="000000"/>
                <w:sz w:val="13"/>
              </w:rPr>
              <w:t xml:space="preserve">43.35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43.35</w:t>
            </w:r>
          </w:p>
        </w:tc>
        <w:tc>
          <w:tcPr>
            <w:tcW w:w="960" w:type="dxa"/>
            <w:tcBorders/>
            <w:vAlign w:val="center"/>
          </w:tcPr>
          <w:p>
            <w:pPr>
              <w:jc w:val="right"/>
            </w:pPr>
            <w:r>
              <w:rPr>
                <w:rFonts w:ascii="宋体" w:eastAsia="宋体" w:hAnsi="宋体" w:cs="宋体"/>
                <w:b w:val="0"/>
                <w:i w:val="0"/>
                <w:color w:val="000000"/>
                <w:sz w:val="13"/>
              </w:rPr>
              <w:t xml:space="preserve">43.35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17.62</w:t>
            </w:r>
          </w:p>
        </w:tc>
        <w:tc>
          <w:tcPr>
            <w:tcW w:w="960" w:type="dxa"/>
            <w:tcBorders/>
            <w:vAlign w:val="center"/>
          </w:tcPr>
          <w:p>
            <w:pPr>
              <w:jc w:val="right"/>
            </w:pPr>
            <w:r>
              <w:rPr>
                <w:rFonts w:ascii="宋体" w:eastAsia="宋体" w:hAnsi="宋体" w:cs="宋体"/>
                <w:b w:val="0"/>
                <w:i w:val="0"/>
                <w:color w:val="000000"/>
                <w:sz w:val="13"/>
              </w:rPr>
              <w:t xml:space="preserve">17.62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25.73</w:t>
            </w:r>
          </w:p>
        </w:tc>
        <w:tc>
          <w:tcPr>
            <w:tcW w:w="960" w:type="dxa"/>
            <w:tcBorders/>
            <w:vAlign w:val="center"/>
          </w:tcPr>
          <w:p>
            <w:pPr>
              <w:jc w:val="right"/>
            </w:pPr>
            <w:r>
              <w:rPr>
                <w:rFonts w:ascii="宋体" w:eastAsia="宋体" w:hAnsi="宋体" w:cs="宋体"/>
                <w:b w:val="0"/>
                <w:i w:val="0"/>
                <w:color w:val="000000"/>
                <w:sz w:val="13"/>
              </w:rPr>
              <w:t xml:space="preserve">25.73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1,602.80</w:t>
            </w:r>
          </w:p>
        </w:tc>
        <w:tc>
          <w:tcPr>
            <w:tcW w:w="1060" w:type="dxa"/>
            <w:tcBorders/>
            <w:vAlign w:val="center"/>
          </w:tcPr>
          <w:p>
            <w:pPr>
              <w:jc w:val="right"/>
            </w:pPr>
            <w:r>
              <w:rPr>
                <w:rFonts w:ascii="宋体" w:eastAsia="宋体" w:hAnsi="宋体" w:cs="宋体"/>
                <w:b/>
                <w:i w:val="0"/>
                <w:color w:val="000000"/>
                <w:sz w:val="14"/>
              </w:rPr>
              <w:t xml:space="preserve">1,283.11</w:t>
            </w:r>
          </w:p>
        </w:tc>
        <w:tc>
          <w:tcPr>
            <w:tcW w:w="1060" w:type="dxa"/>
            <w:tcBorders/>
            <w:vAlign w:val="center"/>
          </w:tcPr>
          <w:p>
            <w:pPr>
              <w:jc w:val="right"/>
            </w:pPr>
            <w:r>
              <w:rPr>
                <w:rFonts w:ascii="宋体" w:eastAsia="宋体" w:hAnsi="宋体" w:cs="宋体"/>
                <w:b/>
                <w:i w:val="0"/>
                <w:color w:val="000000"/>
                <w:sz w:val="14"/>
              </w:rPr>
              <w:t xml:space="preserve">319.69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1,559.45</w:t>
            </w:r>
          </w:p>
        </w:tc>
        <w:tc>
          <w:tcPr>
            <w:tcW w:w="1060" w:type="dxa"/>
            <w:tcBorders/>
            <w:vAlign w:val="center"/>
          </w:tcPr>
          <w:p>
            <w:pPr>
              <w:jc w:val="right"/>
            </w:pPr>
            <w:r>
              <w:rPr>
                <w:rFonts w:ascii="宋体" w:eastAsia="宋体" w:hAnsi="宋体" w:cs="宋体"/>
                <w:b w:val="0"/>
                <w:i w:val="0"/>
                <w:color w:val="000000"/>
                <w:sz w:val="14"/>
              </w:rPr>
              <w:t xml:space="preserve">1,239.77</w:t>
            </w:r>
          </w:p>
        </w:tc>
        <w:tc>
          <w:tcPr>
            <w:tcW w:w="1060" w:type="dxa"/>
            <w:tcBorders/>
            <w:vAlign w:val="center"/>
          </w:tcPr>
          <w:p>
            <w:pPr>
              <w:jc w:val="right"/>
            </w:pPr>
            <w:r>
              <w:rPr>
                <w:rFonts w:ascii="宋体" w:eastAsia="宋体" w:hAnsi="宋体" w:cs="宋体"/>
                <w:b w:val="0"/>
                <w:i w:val="0"/>
                <w:color w:val="000000"/>
                <w:sz w:val="14"/>
              </w:rPr>
              <w:t xml:space="preserve">319.69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1,542.12</w:t>
            </w:r>
          </w:p>
        </w:tc>
        <w:tc>
          <w:tcPr>
            <w:tcW w:w="1060" w:type="dxa"/>
            <w:tcBorders/>
            <w:vAlign w:val="center"/>
          </w:tcPr>
          <w:p>
            <w:pPr>
              <w:jc w:val="right"/>
            </w:pPr>
            <w:r>
              <w:rPr>
                <w:rFonts w:ascii="宋体" w:eastAsia="宋体" w:hAnsi="宋体" w:cs="宋体"/>
                <w:b w:val="0"/>
                <w:i w:val="0"/>
                <w:color w:val="000000"/>
                <w:sz w:val="14"/>
              </w:rPr>
              <w:t xml:space="preserve">1,239.77</w:t>
            </w:r>
          </w:p>
        </w:tc>
        <w:tc>
          <w:tcPr>
            <w:tcW w:w="1060" w:type="dxa"/>
            <w:tcBorders/>
            <w:vAlign w:val="center"/>
          </w:tcPr>
          <w:p>
            <w:pPr>
              <w:jc w:val="right"/>
            </w:pPr>
            <w:r>
              <w:rPr>
                <w:rFonts w:ascii="宋体" w:eastAsia="宋体" w:hAnsi="宋体" w:cs="宋体"/>
                <w:b w:val="0"/>
                <w:i w:val="0"/>
                <w:color w:val="000000"/>
                <w:sz w:val="14"/>
              </w:rPr>
              <w:t xml:space="preserve">302.36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13.35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1,528.19</w:t>
            </w:r>
          </w:p>
        </w:tc>
        <w:tc>
          <w:tcPr>
            <w:tcW w:w="1060" w:type="dxa"/>
            <w:tcBorders/>
            <w:vAlign w:val="center"/>
          </w:tcPr>
          <w:p>
            <w:pPr>
              <w:jc w:val="right"/>
            </w:pPr>
            <w:r>
              <w:rPr>
                <w:rFonts w:ascii="宋体" w:eastAsia="宋体" w:hAnsi="宋体" w:cs="宋体"/>
                <w:b w:val="0"/>
                <w:i w:val="0"/>
                <w:color w:val="000000"/>
                <w:sz w:val="14"/>
              </w:rPr>
              <w:t xml:space="preserve">1,239.77</w:t>
            </w:r>
          </w:p>
        </w:tc>
        <w:tc>
          <w:tcPr>
            <w:tcW w:w="1060" w:type="dxa"/>
            <w:tcBorders/>
            <w:vAlign w:val="center"/>
          </w:tcPr>
          <w:p>
            <w:pPr>
              <w:jc w:val="right"/>
            </w:pPr>
            <w:r>
              <w:rPr>
                <w:rFonts w:ascii="宋体" w:eastAsia="宋体" w:hAnsi="宋体" w:cs="宋体"/>
                <w:b w:val="0"/>
                <w:i w:val="0"/>
                <w:color w:val="000000"/>
                <w:sz w:val="14"/>
              </w:rPr>
              <w:t xml:space="preserve">288.43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0.58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17.33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17.33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43.35</w:t>
            </w:r>
          </w:p>
        </w:tc>
        <w:tc>
          <w:tcPr>
            <w:tcW w:w="1060" w:type="dxa"/>
            <w:tcBorders/>
            <w:vAlign w:val="center"/>
          </w:tcPr>
          <w:p>
            <w:pPr>
              <w:jc w:val="right"/>
            </w:pPr>
            <w:r>
              <w:rPr>
                <w:rFonts w:ascii="宋体" w:eastAsia="宋体" w:hAnsi="宋体" w:cs="宋体"/>
                <w:b w:val="0"/>
                <w:i w:val="0"/>
                <w:color w:val="000000"/>
                <w:sz w:val="14"/>
              </w:rPr>
              <w:t xml:space="preserve">43.35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43.35</w:t>
            </w:r>
          </w:p>
        </w:tc>
        <w:tc>
          <w:tcPr>
            <w:tcW w:w="1060" w:type="dxa"/>
            <w:tcBorders/>
            <w:vAlign w:val="center"/>
          </w:tcPr>
          <w:p>
            <w:pPr>
              <w:jc w:val="right"/>
            </w:pPr>
            <w:r>
              <w:rPr>
                <w:rFonts w:ascii="宋体" w:eastAsia="宋体" w:hAnsi="宋体" w:cs="宋体"/>
                <w:b w:val="0"/>
                <w:i w:val="0"/>
                <w:color w:val="000000"/>
                <w:sz w:val="14"/>
              </w:rPr>
              <w:t xml:space="preserve">43.35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17.62</w:t>
            </w:r>
          </w:p>
        </w:tc>
        <w:tc>
          <w:tcPr>
            <w:tcW w:w="1060" w:type="dxa"/>
            <w:tcBorders/>
            <w:vAlign w:val="center"/>
          </w:tcPr>
          <w:p>
            <w:pPr>
              <w:jc w:val="right"/>
            </w:pPr>
            <w:r>
              <w:rPr>
                <w:rFonts w:ascii="宋体" w:eastAsia="宋体" w:hAnsi="宋体" w:cs="宋体"/>
                <w:b w:val="0"/>
                <w:i w:val="0"/>
                <w:color w:val="000000"/>
                <w:sz w:val="14"/>
              </w:rPr>
              <w:t xml:space="preserve">17.62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25.73</w:t>
            </w:r>
          </w:p>
        </w:tc>
        <w:tc>
          <w:tcPr>
            <w:tcW w:w="1060" w:type="dxa"/>
            <w:tcBorders/>
            <w:vAlign w:val="center"/>
          </w:tcPr>
          <w:p>
            <w:pPr>
              <w:jc w:val="right"/>
            </w:pPr>
            <w:r>
              <w:rPr>
                <w:rFonts w:ascii="宋体" w:eastAsia="宋体" w:hAnsi="宋体" w:cs="宋体"/>
                <w:b w:val="0"/>
                <w:i w:val="0"/>
                <w:color w:val="000000"/>
                <w:sz w:val="14"/>
              </w:rPr>
              <w:t xml:space="preserve">25.73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1,602.22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1,558.87</w:t>
            </w:r>
          </w:p>
        </w:tc>
        <w:tc>
          <w:tcPr>
            <w:tcW w:w="1100" w:type="dxa"/>
            <w:tcBorders/>
            <w:vAlign w:val="center"/>
          </w:tcPr>
          <w:p>
            <w:pPr>
              <w:jc w:val="right"/>
            </w:pPr>
            <w:r>
              <w:rPr>
                <w:rFonts w:ascii="宋体" w:eastAsia="宋体" w:hAnsi="宋体" w:cs="宋体"/>
                <w:b w:val="0"/>
                <w:i w:val="0"/>
                <w:color w:val="000000"/>
                <w:sz w:val="14"/>
              </w:rPr>
              <w:t xml:space="preserve">1,558.87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43.35</w:t>
            </w:r>
          </w:p>
        </w:tc>
        <w:tc>
          <w:tcPr>
            <w:tcW w:w="1100" w:type="dxa"/>
            <w:tcBorders/>
            <w:vAlign w:val="center"/>
          </w:tcPr>
          <w:p>
            <w:pPr>
              <w:jc w:val="right"/>
            </w:pPr>
            <w:r>
              <w:rPr>
                <w:rFonts w:ascii="宋体" w:eastAsia="宋体" w:hAnsi="宋体" w:cs="宋体"/>
                <w:b w:val="0"/>
                <w:i w:val="0"/>
                <w:color w:val="000000"/>
                <w:sz w:val="14"/>
              </w:rPr>
              <w:t xml:space="preserve">43.35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1,602.22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1,602.22</w:t>
            </w:r>
          </w:p>
        </w:tc>
        <w:tc>
          <w:tcPr>
            <w:tcW w:w="1100" w:type="dxa"/>
            <w:tcBorders/>
            <w:vAlign w:val="center"/>
          </w:tcPr>
          <w:p>
            <w:pPr>
              <w:jc w:val="right"/>
            </w:pPr>
            <w:r>
              <w:rPr>
                <w:rFonts w:ascii="宋体" w:eastAsia="宋体" w:hAnsi="宋体" w:cs="宋体"/>
                <w:b w:val="0"/>
                <w:i w:val="0"/>
                <w:color w:val="000000"/>
                <w:sz w:val="14"/>
              </w:rPr>
              <w:t xml:space="preserve">1,602.22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1,602.22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1,602.22</w:t>
            </w:r>
          </w:p>
        </w:tc>
        <w:tc>
          <w:tcPr>
            <w:tcW w:w="1100" w:type="dxa"/>
            <w:tcBorders/>
            <w:vAlign w:val="center"/>
          </w:tcPr>
          <w:p>
            <w:pPr>
              <w:jc w:val="right"/>
            </w:pPr>
            <w:r>
              <w:rPr>
                <w:rFonts w:ascii="宋体" w:eastAsia="宋体" w:hAnsi="宋体" w:cs="宋体"/>
                <w:b w:val="0"/>
                <w:i w:val="0"/>
                <w:color w:val="000000"/>
                <w:sz w:val="14"/>
              </w:rPr>
              <w:t xml:space="preserve">1,602.22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1,602.22</w:t>
            </w:r>
          </w:p>
        </w:tc>
        <w:tc>
          <w:tcPr>
            <w:tcW w:w="1780" w:type="dxa"/>
            <w:tcBorders/>
            <w:vAlign w:val="center"/>
          </w:tcPr>
          <w:p>
            <w:pPr>
              <w:jc w:val="right"/>
            </w:pPr>
            <w:r>
              <w:rPr>
                <w:rFonts w:ascii="宋体" w:eastAsia="宋体" w:hAnsi="宋体" w:cs="宋体"/>
                <w:b/>
                <w:i w:val="0"/>
                <w:color w:val="000000"/>
                <w:sz w:val="18"/>
              </w:rPr>
              <w:t xml:space="preserve">1,283.11</w:t>
            </w:r>
          </w:p>
        </w:tc>
        <w:tc>
          <w:tcPr>
            <w:tcW w:w="1772" w:type="dxa"/>
            <w:tcBorders/>
            <w:vAlign w:val="center"/>
          </w:tcPr>
          <w:p>
            <w:pPr>
              <w:jc w:val="right"/>
            </w:pPr>
            <w:r>
              <w:rPr>
                <w:rFonts w:ascii="宋体" w:eastAsia="宋体" w:hAnsi="宋体" w:cs="宋体"/>
                <w:b/>
                <w:i w:val="0"/>
                <w:color w:val="000000"/>
                <w:sz w:val="18"/>
              </w:rPr>
              <w:t xml:space="preserve">319.11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1,558.87</w:t>
            </w:r>
          </w:p>
        </w:tc>
        <w:tc>
          <w:tcPr>
            <w:tcW w:w="1780" w:type="dxa"/>
            <w:tcBorders/>
            <w:vAlign w:val="center"/>
          </w:tcPr>
          <w:p>
            <w:pPr>
              <w:jc w:val="right"/>
            </w:pPr>
            <w:r>
              <w:rPr>
                <w:rFonts w:ascii="宋体" w:eastAsia="宋体" w:hAnsi="宋体" w:cs="宋体"/>
                <w:b w:val="0"/>
                <w:i w:val="0"/>
                <w:color w:val="000000"/>
                <w:sz w:val="18"/>
              </w:rPr>
              <w:t xml:space="preserve">1,239.77</w:t>
            </w:r>
          </w:p>
        </w:tc>
        <w:tc>
          <w:tcPr>
            <w:tcW w:w="1772" w:type="dxa"/>
            <w:tcBorders/>
            <w:vAlign w:val="center"/>
          </w:tcPr>
          <w:p>
            <w:pPr>
              <w:jc w:val="right"/>
            </w:pPr>
            <w:r>
              <w:rPr>
                <w:rFonts w:ascii="宋体" w:eastAsia="宋体" w:hAnsi="宋体" w:cs="宋体"/>
                <w:b w:val="0"/>
                <w:i w:val="0"/>
                <w:color w:val="000000"/>
                <w:sz w:val="18"/>
              </w:rPr>
              <w:t xml:space="preserve">319.11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1,541.54</w:t>
            </w:r>
          </w:p>
        </w:tc>
        <w:tc>
          <w:tcPr>
            <w:tcW w:w="1780" w:type="dxa"/>
            <w:tcBorders/>
            <w:vAlign w:val="center"/>
          </w:tcPr>
          <w:p>
            <w:pPr>
              <w:jc w:val="right"/>
            </w:pPr>
            <w:r>
              <w:rPr>
                <w:rFonts w:ascii="宋体" w:eastAsia="宋体" w:hAnsi="宋体" w:cs="宋体"/>
                <w:b w:val="0"/>
                <w:i w:val="0"/>
                <w:color w:val="000000"/>
                <w:sz w:val="18"/>
              </w:rPr>
              <w:t xml:space="preserve">1,239.77</w:t>
            </w:r>
          </w:p>
        </w:tc>
        <w:tc>
          <w:tcPr>
            <w:tcW w:w="1772" w:type="dxa"/>
            <w:tcBorders/>
            <w:vAlign w:val="center"/>
          </w:tcPr>
          <w:p>
            <w:pPr>
              <w:jc w:val="right"/>
            </w:pPr>
            <w:r>
              <w:rPr>
                <w:rFonts w:ascii="宋体" w:eastAsia="宋体" w:hAnsi="宋体" w:cs="宋体"/>
                <w:b w:val="0"/>
                <w:i w:val="0"/>
                <w:color w:val="000000"/>
                <w:sz w:val="18"/>
              </w:rPr>
              <w:t xml:space="preserve">301.78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13.35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1,528.19</w:t>
            </w:r>
          </w:p>
        </w:tc>
        <w:tc>
          <w:tcPr>
            <w:tcW w:w="1780" w:type="dxa"/>
            <w:tcBorders/>
            <w:vAlign w:val="center"/>
          </w:tcPr>
          <w:p>
            <w:pPr>
              <w:jc w:val="right"/>
            </w:pPr>
            <w:r>
              <w:rPr>
                <w:rFonts w:ascii="宋体" w:eastAsia="宋体" w:hAnsi="宋体" w:cs="宋体"/>
                <w:b w:val="0"/>
                <w:i w:val="0"/>
                <w:color w:val="000000"/>
                <w:sz w:val="18"/>
              </w:rPr>
              <w:t xml:space="preserve">1,239.77</w:t>
            </w:r>
          </w:p>
        </w:tc>
        <w:tc>
          <w:tcPr>
            <w:tcW w:w="1772" w:type="dxa"/>
            <w:tcBorders/>
            <w:vAlign w:val="center"/>
          </w:tcPr>
          <w:p>
            <w:pPr>
              <w:jc w:val="right"/>
            </w:pPr>
            <w:r>
              <w:rPr>
                <w:rFonts w:ascii="宋体" w:eastAsia="宋体" w:hAnsi="宋体" w:cs="宋体"/>
                <w:b w:val="0"/>
                <w:i w:val="0"/>
                <w:color w:val="000000"/>
                <w:sz w:val="18"/>
              </w:rPr>
              <w:t xml:space="preserve">288.43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17.33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17.33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17.33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17.33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43.35</w:t>
            </w:r>
          </w:p>
        </w:tc>
        <w:tc>
          <w:tcPr>
            <w:tcW w:w="1780" w:type="dxa"/>
            <w:tcBorders/>
            <w:vAlign w:val="center"/>
          </w:tcPr>
          <w:p>
            <w:pPr>
              <w:jc w:val="right"/>
            </w:pPr>
            <w:r>
              <w:rPr>
                <w:rFonts w:ascii="宋体" w:eastAsia="宋体" w:hAnsi="宋体" w:cs="宋体"/>
                <w:b w:val="0"/>
                <w:i w:val="0"/>
                <w:color w:val="000000"/>
                <w:sz w:val="18"/>
              </w:rPr>
              <w:t xml:space="preserve">43.35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43.35</w:t>
            </w:r>
          </w:p>
        </w:tc>
        <w:tc>
          <w:tcPr>
            <w:tcW w:w="1780" w:type="dxa"/>
            <w:tcBorders/>
            <w:vAlign w:val="center"/>
          </w:tcPr>
          <w:p>
            <w:pPr>
              <w:jc w:val="right"/>
            </w:pPr>
            <w:r>
              <w:rPr>
                <w:rFonts w:ascii="宋体" w:eastAsia="宋体" w:hAnsi="宋体" w:cs="宋体"/>
                <w:b w:val="0"/>
                <w:i w:val="0"/>
                <w:color w:val="000000"/>
                <w:sz w:val="18"/>
              </w:rPr>
              <w:t xml:space="preserve">43.35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17.62</w:t>
            </w:r>
          </w:p>
        </w:tc>
        <w:tc>
          <w:tcPr>
            <w:tcW w:w="1780" w:type="dxa"/>
            <w:tcBorders/>
            <w:vAlign w:val="center"/>
          </w:tcPr>
          <w:p>
            <w:pPr>
              <w:jc w:val="right"/>
            </w:pPr>
            <w:r>
              <w:rPr>
                <w:rFonts w:ascii="宋体" w:eastAsia="宋体" w:hAnsi="宋体" w:cs="宋体"/>
                <w:b w:val="0"/>
                <w:i w:val="0"/>
                <w:color w:val="000000"/>
                <w:sz w:val="18"/>
              </w:rPr>
              <w:t xml:space="preserve">17.62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25.73</w:t>
            </w:r>
          </w:p>
        </w:tc>
        <w:tc>
          <w:tcPr>
            <w:tcW w:w="1780" w:type="dxa"/>
            <w:tcBorders/>
            <w:vAlign w:val="center"/>
          </w:tcPr>
          <w:p>
            <w:pPr>
              <w:jc w:val="right"/>
            </w:pPr>
            <w:r>
              <w:rPr>
                <w:rFonts w:ascii="宋体" w:eastAsia="宋体" w:hAnsi="宋体" w:cs="宋体"/>
                <w:b w:val="0"/>
                <w:i w:val="0"/>
                <w:color w:val="000000"/>
                <w:sz w:val="18"/>
              </w:rPr>
              <w:t xml:space="preserve">25.73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1,211.92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12.48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488.29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0.43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142.01</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42.54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12.16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271.07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156.99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25.73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67.15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5.99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0.15</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58.71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17.62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1.85</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28.28</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12.81</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1.23</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8.63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1,270.63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12.48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单位：辽宁省沈阳市第七十三中学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992"/>
        <w:gridCol w:w="1773"/>
        <w:gridCol w:w="1833"/>
        <w:gridCol w:w="1992"/>
        <w:gridCol w:w="1712"/>
        <w:gridCol w:w="1992"/>
        <w:gridCol w:w="1773"/>
        <w:gridCol w:w="1773"/>
      </w:tblGrid>
      <w:tr>
        <w:trPr>
          <w:trHeight w:hRule="exact" w:val="386"/>
          <w:jc w:val="center"/>
        </w:trPr>
        <w:tc>
          <w:tcPr>
            <w:tcW w:w="14840" w:type="dxa"/>
            <w:gridSpan w:val="8"/>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部门（单位）整体绩效目标表</w:t>
            </w:r>
          </w:p>
        </w:tc>
      </w:tr>
      <w:tr>
        <w:trPr>
          <w:trHeight w:hRule="exact" w:val="386"/>
          <w:jc w:val="center"/>
        </w:trPr>
        <w:tc>
          <w:tcPr>
            <w:tcW w:w="14840" w:type="dxa"/>
            <w:gridSpan w:val="8"/>
            <w:tcBorders>
              <w:bottom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86"/>
          <w:jc w:val="center"/>
        </w:trPr>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部门（单位）名称</w:t>
            </w:r>
          </w:p>
        </w:tc>
        <w:tc>
          <w:tcPr>
            <w:tcW w:w="1284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023011辽宁省沈阳市第七十三中学-210112000</w:t>
            </w:r>
          </w:p>
        </w:tc>
      </w:tr>
      <w:tr>
        <w:trPr>
          <w:trHeight w:hRule="exact" w:val="386"/>
          <w:jc w:val="center"/>
        </w:trPr>
        <w:tc>
          <w:tcPr>
            <w:tcW w:w="1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年度主要任务</w:t>
            </w: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对应项目</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预算资金情况（万元）</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基本支出人员经费(刚性)</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76.41</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基本支出人员经费(保工资)</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1240.68</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基本支出公用经费(保基本民生)</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95.66</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基本支出公用经费(保运转)</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13.09</w:t>
            </w:r>
          </w:p>
        </w:tc>
      </w:tr>
      <w:tr>
        <w:trPr>
          <w:trHeight w:hRule="exact" w:val="386"/>
          <w:jc w:val="center"/>
        </w:trPr>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年度绩效目标</w:t>
            </w:r>
          </w:p>
        </w:tc>
        <w:tc>
          <w:tcPr>
            <w:tcW w:w="1284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辽宁省沈阳市第七十三中学尽力完成年度主要任务。</w:t>
            </w:r>
          </w:p>
        </w:tc>
      </w:tr>
      <w:tr>
        <w:trPr>
          <w:trHeight w:hRule="exact" w:val="468"/>
          <w:jc w:val="center"/>
        </w:trPr>
        <w:tc>
          <w:tcPr>
            <w:tcW w:w="1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年度绩效指标</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一级指标</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二级指标</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三级指标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运算符号</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指标值</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度量单位</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完成时限</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履职效能</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重点工作履行情况</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重点工作办结率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整体工作完成情况</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工作完成及时率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工作质量达标率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总体工作完成率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基础管理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依法行政能力</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综合管理水平</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预算执行</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预算执行效率</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预算执行率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预算调整率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5</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结转结余变动率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管理效率</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预算编制管理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预算绩效目标覆盖率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预算监督管理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预决算公开情况</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全部公开</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预算收支管理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预算收入管理规范性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预算支出管理规范性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财务管理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内控制度有效性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制度有效</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资产管理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固定资产利用率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业务管理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政府采购管理违法违规行为发生次数</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次</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运行成本</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成本控制成效</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“三公”经费变动率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在职人员控制率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社会效应</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社会效益</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提高家庭教育社会公共服务水平</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尽力完成</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经济效益</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单位GDP能耗下降率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生态效益</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一级保护动植物增长量</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个</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可持续性</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体制机制改革</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完善巡视巡察上下联动工作格局</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尽力完成</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建立预算绩效管理机制</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尽力完成</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创新驱动发展</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创业带动就业</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尽力完成</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