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辽宁省沈阳市第五十一中学</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辽宁省沈阳市第五十一中学</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辽宁省沈阳市第五十一中学</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辽宁省沈阳市第五十一中学</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辽宁省沈阳市第五十一中学</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辽宁省沈阳市第五十一中学概况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（一）组织教育教学、科学研究活动，保证教育教学质量。维护教职工利益，保障教职工合法权益，以教职工和学生的人生幸福和生命质量作为重点。</w:t>
        <w:br/>
        <w:t xml:space="preserve">    （二）制定学校发展规划，并抓好组织实施和落实情况。</w:t>
        <w:br/>
        <w:t xml:space="preserve">    （三）科学管理、合理使用学校的设施和经费，并积极筹措办学资金，改善办学条件。</w:t>
        <w:br/>
        <w:t xml:space="preserve">    （四）依法接受各级教育行政部门的检查指导和人民群众的监督。</w:t>
        <w:br/>
        <w:t xml:space="preserve">    （五）财务管理方面：</w:t>
        <w:br/>
        <w:t xml:space="preserve">    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br/>
        <w:t xml:space="preserve">    2、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辽宁省沈阳市第五十一中学</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沈阳市第五十一中学是纳入浑南区教育局2024年度部门决算编制的二级预算单位，本单位无下设机构。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3037.40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2864.77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94.32</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2864.77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159.84</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5.26</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主要是学费和住宿费等收入。</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12.79</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0.42</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主要是以前年度专用基金8.51万元、测功仪质保金2.15万元、名师工作室经费1.52万元、省长杯校园足球联赛补助费0.54万元、援疆补助0.07万元等。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增加136.68万元，增长4.71%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财政拨款收入增加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3028.83</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2432.25</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80.30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工资福利支出2244.61万元；商品和服务支出138.67万元；对个人和家庭的补助48.97万元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596.57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19.70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专用设备购置7.59万元、区聘教师经费1.46万元、教师绩效167.94万元、学生资助22.06万元、残疾人就业保障金25.96万元、预算外经费支出152.23万元、考试考务0.2万元、公用经费支出214.91万元、非财政拨款预算项目4.22万元.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增加140.36万元，增长4.86%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学生人数增加，生均经费增加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8.57</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主要是以前年度专用基金等原因形成的结余。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减少3.68万元，降低30.01%</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测功仪质保金、足球联赛补助费、名师工作室经费等均已支出</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2864.77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2432.25</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432.52</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增加205.56万元，增长7.73%</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学生人数增加，公用经费支出增加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75.31</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80.77</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54.56</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2024年度一般公共预算财政拨款支出2864.77万元。按支出功能分类科目分，包括：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1.教育支出2820.31万元，具体包括：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教育支出（类）普通教育（款）高中教育（项）2700.64万元,主要是工资福利支出2216.53万元、商品服务支出444.13万元、对个人和家庭的补助支出39.98万元等支出，完成年初预算的75.31%，决算数与年初预算数存在差异的主要原因是节约开支。</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教育支出（类）教育费附加安排的支出（款）其他教育费附加安排的支出（项）119.67万元,主要是商品服务支出103.33万元、对个人和家庭的补助支出6.4万元、资本性支出9.94万元等支出，完成年初预算的100%，决算数与年初预算数存在差异的主要原因是完全按照预算安排，决算数与年初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2.社会保障和就业支出44.46万元，具体包括：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14.96万元,主要是退休费等支出，完成年初预算的100%，决算数与年初预算数存在差异的主要原因是完全按照预算安排，决算数与年初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职业年金缴费支出（项）28.08万元,主要是职业年金等支出，完成年初预算的100%，决算数与年初预算数存在差异的主要原因是完全按照预算安排，决算数与年初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（3）社会保障和就业支出（类）抚恤（款）伤残抚恤（项）1.42万元,主要是抚恤金等支出，完成年初预算的100%，决算数与年初预算数存在差异的主要原因是完全按照预算安排，决算数与年初预算数无差异。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本单位无此项支出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2432.25</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2293.58</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138.67</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我单位属于事业单位，无机关运行经费</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3</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3</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，其他用车主要是保障师生外出用车</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具体而言，本年度我部门共组织对6个项目实施了绩效评价。从预算资金来源看，涉及一般公共预算的项目6个，涉及政府性基金预算的项目0个，涉及国有资本经营预算的项目0个。</w:t>
        <w:br/>
        <w:t xml:space="preserve">    上述评价工作共涉及财政资金2787.59万元。其中，一般公共预算资金2787.59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6个；得分在80分（含）至90分、等级为“良”的项目有0个；得分在60分（含）至80分、等级为“中”的项目有0；得分在60分以下、等级为“差”的项目有0个。</w:t>
        <w:br/>
        <w:t xml:space="preserve">    3.部门重点评价情况及结果。</w:t>
        <w:br/>
        <w:t xml:space="preserve">    我部门未产生资金量大、社会关注度高的民生领域项目，因此暂未做重点项目绩效评价。</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单位：辽宁省沈阳市第五十一中学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2,864.77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jc w:val="right"/>
            </w:pPr>
            <w:r>
              <w:rPr>
                <w:rFonts w:ascii="宋体" w:eastAsia="宋体" w:hAnsi="宋体" w:cs="宋体"/>
                <w:b w:val="0"/>
                <w:i w:val="0"/>
                <w:color w:val="000000"/>
                <w:sz w:val="16"/>
              </w:rPr>
              <w:t xml:space="preserve">159.84</w:t>
            </w: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jc w:val="right"/>
            </w:pPr>
            <w:r>
              <w:rPr>
                <w:rFonts w:ascii="宋体" w:eastAsia="宋体" w:hAnsi="宋体" w:cs="宋体"/>
                <w:b w:val="0"/>
                <w:i w:val="0"/>
                <w:color w:val="000000"/>
                <w:sz w:val="16"/>
              </w:rPr>
              <w:t xml:space="preserve">2,984.36</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44.46</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3,024.61</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3,028.83</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12.79</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8.57</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3,037.40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3,037.40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单位：辽宁省沈阳市第五十一中学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3,024.61</w:t>
            </w:r>
          </w:p>
        </w:tc>
        <w:tc>
          <w:tcPr>
            <w:tcW w:w="960" w:type="dxa"/>
            <w:tcBorders/>
            <w:vAlign w:val="center"/>
          </w:tcPr>
          <w:p>
            <w:pPr>
              <w:jc w:val="right"/>
            </w:pPr>
            <w:r>
              <w:rPr>
                <w:rFonts w:ascii="宋体" w:eastAsia="宋体" w:hAnsi="宋体" w:cs="宋体"/>
                <w:b/>
                <w:i w:val="0"/>
                <w:color w:val="000000"/>
                <w:sz w:val="13"/>
              </w:rPr>
              <w:t xml:space="preserve">2,864.77</w:t>
            </w:r>
          </w:p>
        </w:tc>
        <w:tc>
          <w:tcPr>
            <w:tcW w:w="960" w:type="dxa"/>
            <w:tcBorders/>
            <w:vAlign w:val="center"/>
          </w:tcPr>
          <w:p>
            <w:pPr/>
          </w:p>
        </w:tc>
        <w:tc>
          <w:tcPr>
            <w:tcW w:w="960" w:type="dxa"/>
            <w:tcBorders/>
            <w:vAlign w:val="center"/>
          </w:tcPr>
          <w:p>
            <w:pPr>
              <w:jc w:val="right"/>
            </w:pPr>
            <w:r>
              <w:rPr>
                <w:rFonts w:ascii="宋体" w:eastAsia="宋体" w:hAnsi="宋体" w:cs="宋体"/>
                <w:b/>
                <w:i w:val="0"/>
                <w:color w:val="000000"/>
                <w:sz w:val="13"/>
              </w:rPr>
              <w:t xml:space="preserve">159.84</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w:t>
            </w:r>
          </w:p>
        </w:tc>
        <w:tc>
          <w:tcPr>
            <w:tcW w:w="3200" w:type="dxa"/>
            <w:tcBorders/>
            <w:vAlign w:val="center"/>
          </w:tcPr>
          <w:p>
            <w:pPr>
              <w:jc w:val="left"/>
            </w:pPr>
            <w:r>
              <w:rPr>
                <w:rFonts w:ascii="宋体" w:eastAsia="宋体" w:hAnsi="宋体" w:cs="宋体"/>
                <w:b w:val="0"/>
                <w:i w:val="0"/>
                <w:color w:val="000000"/>
                <w:sz w:val="13"/>
              </w:rPr>
              <w:t xml:space="preserve">教育支出</w:t>
            </w:r>
          </w:p>
        </w:tc>
        <w:tc>
          <w:tcPr>
            <w:tcW w:w="960" w:type="dxa"/>
            <w:tcBorders/>
            <w:vAlign w:val="center"/>
          </w:tcPr>
          <w:p>
            <w:pPr>
              <w:jc w:val="right"/>
            </w:pPr>
            <w:r>
              <w:rPr>
                <w:rFonts w:ascii="宋体" w:eastAsia="宋体" w:hAnsi="宋体" w:cs="宋体"/>
                <w:b w:val="0"/>
                <w:i w:val="0"/>
                <w:color w:val="000000"/>
                <w:sz w:val="13"/>
              </w:rPr>
              <w:t xml:space="preserve">2,980.15</w:t>
            </w:r>
          </w:p>
        </w:tc>
        <w:tc>
          <w:tcPr>
            <w:tcW w:w="960" w:type="dxa"/>
            <w:tcBorders/>
            <w:vAlign w:val="center"/>
          </w:tcPr>
          <w:p>
            <w:pPr>
              <w:jc w:val="right"/>
            </w:pPr>
            <w:r>
              <w:rPr>
                <w:rFonts w:ascii="宋体" w:eastAsia="宋体" w:hAnsi="宋体" w:cs="宋体"/>
                <w:b w:val="0"/>
                <w:i w:val="0"/>
                <w:color w:val="000000"/>
                <w:sz w:val="13"/>
              </w:rPr>
              <w:t xml:space="preserve">2,820.31</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159.84</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w:t>
            </w:r>
          </w:p>
        </w:tc>
        <w:tc>
          <w:tcPr>
            <w:tcW w:w="3200" w:type="dxa"/>
            <w:tcBorders/>
            <w:vAlign w:val="center"/>
          </w:tcPr>
          <w:p>
            <w:pPr>
              <w:jc w:val="left"/>
            </w:pPr>
            <w:r>
              <w:rPr>
                <w:rFonts w:ascii="宋体" w:eastAsia="宋体" w:hAnsi="宋体" w:cs="宋体"/>
                <w:b w:val="0"/>
                <w:i w:val="0"/>
                <w:color w:val="000000"/>
                <w:sz w:val="13"/>
              </w:rPr>
              <w:t xml:space="preserve">普通教育</w:t>
            </w:r>
          </w:p>
        </w:tc>
        <w:tc>
          <w:tcPr>
            <w:tcW w:w="960" w:type="dxa"/>
            <w:tcBorders/>
            <w:vAlign w:val="center"/>
          </w:tcPr>
          <w:p>
            <w:pPr>
              <w:jc w:val="right"/>
            </w:pPr>
            <w:r>
              <w:rPr>
                <w:rFonts w:ascii="宋体" w:eastAsia="宋体" w:hAnsi="宋体" w:cs="宋体"/>
                <w:b w:val="0"/>
                <w:i w:val="0"/>
                <w:color w:val="000000"/>
                <w:sz w:val="13"/>
              </w:rPr>
              <w:t xml:space="preserve">2,860.48</w:t>
            </w:r>
          </w:p>
        </w:tc>
        <w:tc>
          <w:tcPr>
            <w:tcW w:w="960" w:type="dxa"/>
            <w:tcBorders/>
            <w:vAlign w:val="center"/>
          </w:tcPr>
          <w:p>
            <w:pPr>
              <w:jc w:val="right"/>
            </w:pPr>
            <w:r>
              <w:rPr>
                <w:rFonts w:ascii="宋体" w:eastAsia="宋体" w:hAnsi="宋体" w:cs="宋体"/>
                <w:b w:val="0"/>
                <w:i w:val="0"/>
                <w:color w:val="000000"/>
                <w:sz w:val="13"/>
              </w:rPr>
              <w:t xml:space="preserve">2,700.64</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159.84</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2050204</w:t>
            </w:r>
          </w:p>
        </w:tc>
        <w:tc>
          <w:tcPr>
            <w:tcW w:w="3200" w:type="dxa"/>
            <w:tcBorders/>
            <w:vAlign w:val="center"/>
          </w:tcPr>
          <w:p>
            <w:pPr>
              <w:jc w:val="left"/>
            </w:pPr>
            <w:r>
              <w:rPr>
                <w:rFonts w:ascii="宋体" w:eastAsia="宋体" w:hAnsi="宋体" w:cs="宋体"/>
                <w:b w:val="0"/>
                <w:i w:val="0"/>
                <w:color w:val="000000"/>
                <w:sz w:val="13"/>
              </w:rPr>
              <w:t xml:space="preserve">高中教育</w:t>
            </w:r>
          </w:p>
        </w:tc>
        <w:tc>
          <w:tcPr>
            <w:tcW w:w="960" w:type="dxa"/>
            <w:tcBorders/>
            <w:vAlign w:val="center"/>
          </w:tcPr>
          <w:p>
            <w:pPr>
              <w:jc w:val="right"/>
            </w:pPr>
            <w:r>
              <w:rPr>
                <w:rFonts w:ascii="宋体" w:eastAsia="宋体" w:hAnsi="宋体" w:cs="宋体"/>
                <w:b w:val="0"/>
                <w:i w:val="0"/>
                <w:color w:val="000000"/>
                <w:sz w:val="13"/>
              </w:rPr>
              <w:t xml:space="preserve">2,860.48</w:t>
            </w:r>
          </w:p>
        </w:tc>
        <w:tc>
          <w:tcPr>
            <w:tcW w:w="960" w:type="dxa"/>
            <w:tcBorders/>
            <w:vAlign w:val="center"/>
          </w:tcPr>
          <w:p>
            <w:pPr>
              <w:jc w:val="right"/>
            </w:pPr>
            <w:r>
              <w:rPr>
                <w:rFonts w:ascii="宋体" w:eastAsia="宋体" w:hAnsi="宋体" w:cs="宋体"/>
                <w:b w:val="0"/>
                <w:i w:val="0"/>
                <w:color w:val="000000"/>
                <w:sz w:val="13"/>
              </w:rPr>
              <w:t xml:space="preserve">2,700.64</w:t>
            </w:r>
          </w:p>
        </w:tc>
        <w:tc>
          <w:tcPr>
            <w:tcW w:w="960" w:type="dxa"/>
            <w:tcBorders/>
            <w:vAlign w:val="center"/>
          </w:tcPr>
          <w:p>
            <w:pPr/>
          </w:p>
        </w:tc>
        <w:tc>
          <w:tcPr>
            <w:tcW w:w="960" w:type="dxa"/>
            <w:tcBorders/>
            <w:vAlign w:val="center"/>
          </w:tcPr>
          <w:p>
            <w:pPr>
              <w:jc w:val="right"/>
            </w:pPr>
            <w:r>
              <w:rPr>
                <w:rFonts w:ascii="宋体" w:eastAsia="宋体" w:hAnsi="宋体" w:cs="宋体"/>
                <w:b w:val="0"/>
                <w:i w:val="0"/>
                <w:color w:val="000000"/>
                <w:sz w:val="13"/>
              </w:rPr>
              <w:t xml:space="preserve">159.84</w:t>
            </w: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w:t>
            </w:r>
          </w:p>
        </w:tc>
        <w:tc>
          <w:tcPr>
            <w:tcW w:w="3200" w:type="dxa"/>
            <w:tcBorders/>
            <w:vAlign w:val="center"/>
          </w:tcPr>
          <w:p>
            <w:pPr>
              <w:jc w:val="left"/>
            </w:pPr>
            <w:r>
              <w:rPr>
                <w:rFonts w:ascii="宋体" w:eastAsia="宋体" w:hAnsi="宋体" w:cs="宋体"/>
                <w:b w:val="0"/>
                <w:i w:val="0"/>
                <w:color w:val="000000"/>
                <w:sz w:val="13"/>
              </w:rPr>
              <w:t xml:space="preserve">教育费附加安排的支出</w:t>
            </w:r>
          </w:p>
        </w:tc>
        <w:tc>
          <w:tcPr>
            <w:tcW w:w="960" w:type="dxa"/>
            <w:tcBorders/>
            <w:vAlign w:val="center"/>
          </w:tcPr>
          <w:p>
            <w:pPr>
              <w:jc w:val="right"/>
            </w:pPr>
            <w:r>
              <w:rPr>
                <w:rFonts w:ascii="宋体" w:eastAsia="宋体" w:hAnsi="宋体" w:cs="宋体"/>
                <w:b w:val="0"/>
                <w:i w:val="0"/>
                <w:color w:val="000000"/>
                <w:sz w:val="13"/>
              </w:rPr>
              <w:t xml:space="preserve">119.67</w:t>
            </w:r>
          </w:p>
        </w:tc>
        <w:tc>
          <w:tcPr>
            <w:tcW w:w="960" w:type="dxa"/>
            <w:tcBorders/>
            <w:vAlign w:val="center"/>
          </w:tcPr>
          <w:p>
            <w:pPr>
              <w:jc w:val="right"/>
            </w:pPr>
            <w:r>
              <w:rPr>
                <w:rFonts w:ascii="宋体" w:eastAsia="宋体" w:hAnsi="宋体" w:cs="宋体"/>
                <w:b w:val="0"/>
                <w:i w:val="0"/>
                <w:color w:val="000000"/>
                <w:sz w:val="13"/>
              </w:rPr>
              <w:t xml:space="preserve">119.67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2050999</w:t>
            </w:r>
          </w:p>
        </w:tc>
        <w:tc>
          <w:tcPr>
            <w:tcW w:w="3200" w:type="dxa"/>
            <w:tcBorders/>
            <w:vAlign w:val="center"/>
          </w:tcPr>
          <w:p>
            <w:pPr>
              <w:jc w:val="left"/>
            </w:pPr>
            <w:r>
              <w:rPr>
                <w:rFonts w:ascii="宋体" w:eastAsia="宋体" w:hAnsi="宋体" w:cs="宋体"/>
                <w:b w:val="0"/>
                <w:i w:val="0"/>
                <w:color w:val="000000"/>
                <w:sz w:val="13"/>
              </w:rPr>
              <w:t xml:space="preserve">其他教育费附加安排的支出</w:t>
            </w:r>
          </w:p>
        </w:tc>
        <w:tc>
          <w:tcPr>
            <w:tcW w:w="960" w:type="dxa"/>
            <w:tcBorders/>
            <w:vAlign w:val="center"/>
          </w:tcPr>
          <w:p>
            <w:pPr>
              <w:jc w:val="right"/>
            </w:pPr>
            <w:r>
              <w:rPr>
                <w:rFonts w:ascii="宋体" w:eastAsia="宋体" w:hAnsi="宋体" w:cs="宋体"/>
                <w:b w:val="0"/>
                <w:i w:val="0"/>
                <w:color w:val="000000"/>
                <w:sz w:val="13"/>
              </w:rPr>
              <w:t xml:space="preserve">119.67</w:t>
            </w:r>
          </w:p>
        </w:tc>
        <w:tc>
          <w:tcPr>
            <w:tcW w:w="960" w:type="dxa"/>
            <w:tcBorders/>
            <w:vAlign w:val="center"/>
          </w:tcPr>
          <w:p>
            <w:pPr>
              <w:jc w:val="right"/>
            </w:pPr>
            <w:r>
              <w:rPr>
                <w:rFonts w:ascii="宋体" w:eastAsia="宋体" w:hAnsi="宋体" w:cs="宋体"/>
                <w:b w:val="0"/>
                <w:i w:val="0"/>
                <w:color w:val="000000"/>
                <w:sz w:val="13"/>
              </w:rPr>
              <w:t xml:space="preserve">119.67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44.46</w:t>
            </w:r>
          </w:p>
        </w:tc>
        <w:tc>
          <w:tcPr>
            <w:tcW w:w="960" w:type="dxa"/>
            <w:tcBorders/>
            <w:vAlign w:val="center"/>
          </w:tcPr>
          <w:p>
            <w:pPr>
              <w:jc w:val="right"/>
            </w:pPr>
            <w:r>
              <w:rPr>
                <w:rFonts w:ascii="宋体" w:eastAsia="宋体" w:hAnsi="宋体" w:cs="宋体"/>
                <w:b w:val="0"/>
                <w:i w:val="0"/>
                <w:color w:val="000000"/>
                <w:sz w:val="13"/>
              </w:rPr>
              <w:t xml:space="preserve">44.46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43.04</w:t>
            </w:r>
          </w:p>
        </w:tc>
        <w:tc>
          <w:tcPr>
            <w:tcW w:w="960" w:type="dxa"/>
            <w:tcBorders/>
            <w:vAlign w:val="center"/>
          </w:tcPr>
          <w:p>
            <w:pPr>
              <w:jc w:val="right"/>
            </w:pPr>
            <w:r>
              <w:rPr>
                <w:rFonts w:ascii="宋体" w:eastAsia="宋体" w:hAnsi="宋体" w:cs="宋体"/>
                <w:b w:val="0"/>
                <w:i w:val="0"/>
                <w:color w:val="000000"/>
                <w:sz w:val="13"/>
              </w:rPr>
              <w:t xml:space="preserve">43.04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14.96</w:t>
            </w:r>
          </w:p>
        </w:tc>
        <w:tc>
          <w:tcPr>
            <w:tcW w:w="960" w:type="dxa"/>
            <w:tcBorders/>
            <w:vAlign w:val="center"/>
          </w:tcPr>
          <w:p>
            <w:pPr>
              <w:jc w:val="right"/>
            </w:pPr>
            <w:r>
              <w:rPr>
                <w:rFonts w:ascii="宋体" w:eastAsia="宋体" w:hAnsi="宋体" w:cs="宋体"/>
                <w:b w:val="0"/>
                <w:i w:val="0"/>
                <w:color w:val="000000"/>
                <w:sz w:val="13"/>
              </w:rPr>
              <w:t xml:space="preserve">14.96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28.08</w:t>
            </w:r>
          </w:p>
        </w:tc>
        <w:tc>
          <w:tcPr>
            <w:tcW w:w="960" w:type="dxa"/>
            <w:tcBorders/>
            <w:vAlign w:val="center"/>
          </w:tcPr>
          <w:p>
            <w:pPr>
              <w:jc w:val="right"/>
            </w:pPr>
            <w:r>
              <w:rPr>
                <w:rFonts w:ascii="宋体" w:eastAsia="宋体" w:hAnsi="宋体" w:cs="宋体"/>
                <w:b w:val="0"/>
                <w:i w:val="0"/>
                <w:color w:val="000000"/>
                <w:sz w:val="13"/>
              </w:rPr>
              <w:t xml:space="preserve">28.08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1.42</w:t>
            </w:r>
          </w:p>
        </w:tc>
        <w:tc>
          <w:tcPr>
            <w:tcW w:w="960" w:type="dxa"/>
            <w:tcBorders/>
            <w:vAlign w:val="center"/>
          </w:tcPr>
          <w:p>
            <w:pPr>
              <w:jc w:val="right"/>
            </w:pPr>
            <w:r>
              <w:rPr>
                <w:rFonts w:ascii="宋体" w:eastAsia="宋体" w:hAnsi="宋体" w:cs="宋体"/>
                <w:b w:val="0"/>
                <w:i w:val="0"/>
                <w:color w:val="000000"/>
                <w:sz w:val="13"/>
              </w:rPr>
              <w:t xml:space="preserve">1.42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1.42</w:t>
            </w:r>
          </w:p>
        </w:tc>
        <w:tc>
          <w:tcPr>
            <w:tcW w:w="960" w:type="dxa"/>
            <w:tcBorders/>
            <w:vAlign w:val="center"/>
          </w:tcPr>
          <w:p>
            <w:pPr>
              <w:jc w:val="right"/>
            </w:pPr>
            <w:r>
              <w:rPr>
                <w:rFonts w:ascii="宋体" w:eastAsia="宋体" w:hAnsi="宋体" w:cs="宋体"/>
                <w:b w:val="0"/>
                <w:i w:val="0"/>
                <w:color w:val="000000"/>
                <w:sz w:val="13"/>
              </w:rPr>
              <w:t xml:space="preserve">1.42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单位：辽宁省沈阳市第五十一中学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3,028.83</w:t>
            </w:r>
          </w:p>
        </w:tc>
        <w:tc>
          <w:tcPr>
            <w:tcW w:w="1060" w:type="dxa"/>
            <w:tcBorders/>
            <w:vAlign w:val="center"/>
          </w:tcPr>
          <w:p>
            <w:pPr>
              <w:jc w:val="right"/>
            </w:pPr>
            <w:r>
              <w:rPr>
                <w:rFonts w:ascii="宋体" w:eastAsia="宋体" w:hAnsi="宋体" w:cs="宋体"/>
                <w:b/>
                <w:i w:val="0"/>
                <w:color w:val="000000"/>
                <w:sz w:val="14"/>
              </w:rPr>
              <w:t xml:space="preserve">2,432.25</w:t>
            </w:r>
          </w:p>
        </w:tc>
        <w:tc>
          <w:tcPr>
            <w:tcW w:w="1060" w:type="dxa"/>
            <w:tcBorders/>
            <w:vAlign w:val="center"/>
          </w:tcPr>
          <w:p>
            <w:pPr>
              <w:jc w:val="right"/>
            </w:pPr>
            <w:r>
              <w:rPr>
                <w:rFonts w:ascii="宋体" w:eastAsia="宋体" w:hAnsi="宋体" w:cs="宋体"/>
                <w:b/>
                <w:i w:val="0"/>
                <w:color w:val="000000"/>
                <w:sz w:val="14"/>
              </w:rPr>
              <w:t xml:space="preserve">596.57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w:t>
            </w:r>
          </w:p>
        </w:tc>
        <w:tc>
          <w:tcPr>
            <w:tcW w:w="3440" w:type="dxa"/>
            <w:tcBorders/>
            <w:vAlign w:val="center"/>
          </w:tcPr>
          <w:p>
            <w:pPr>
              <w:jc w:val="left"/>
            </w:pPr>
            <w:r>
              <w:rPr>
                <w:rFonts w:ascii="宋体" w:eastAsia="宋体" w:hAnsi="宋体" w:cs="宋体"/>
                <w:b w:val="0"/>
                <w:i w:val="0"/>
                <w:color w:val="000000"/>
                <w:sz w:val="14"/>
              </w:rPr>
              <w:t xml:space="preserve">教育支出</w:t>
            </w:r>
          </w:p>
        </w:tc>
        <w:tc>
          <w:tcPr>
            <w:tcW w:w="1060" w:type="dxa"/>
            <w:tcBorders/>
            <w:vAlign w:val="center"/>
          </w:tcPr>
          <w:p>
            <w:pPr>
              <w:jc w:val="right"/>
            </w:pPr>
            <w:r>
              <w:rPr>
                <w:rFonts w:ascii="宋体" w:eastAsia="宋体" w:hAnsi="宋体" w:cs="宋体"/>
                <w:b w:val="0"/>
                <w:i w:val="0"/>
                <w:color w:val="000000"/>
                <w:sz w:val="14"/>
              </w:rPr>
              <w:t xml:space="preserve">2,984.37</w:t>
            </w:r>
          </w:p>
        </w:tc>
        <w:tc>
          <w:tcPr>
            <w:tcW w:w="1060" w:type="dxa"/>
            <w:tcBorders/>
            <w:vAlign w:val="center"/>
          </w:tcPr>
          <w:p>
            <w:pPr>
              <w:jc w:val="right"/>
            </w:pPr>
            <w:r>
              <w:rPr>
                <w:rFonts w:ascii="宋体" w:eastAsia="宋体" w:hAnsi="宋体" w:cs="宋体"/>
                <w:b w:val="0"/>
                <w:i w:val="0"/>
                <w:color w:val="000000"/>
                <w:sz w:val="14"/>
              </w:rPr>
              <w:t xml:space="preserve">2,387.79</w:t>
            </w:r>
          </w:p>
        </w:tc>
        <w:tc>
          <w:tcPr>
            <w:tcW w:w="1060" w:type="dxa"/>
            <w:tcBorders/>
            <w:vAlign w:val="center"/>
          </w:tcPr>
          <w:p>
            <w:pPr>
              <w:jc w:val="right"/>
            </w:pPr>
            <w:r>
              <w:rPr>
                <w:rFonts w:ascii="宋体" w:eastAsia="宋体" w:hAnsi="宋体" w:cs="宋体"/>
                <w:b w:val="0"/>
                <w:i w:val="0"/>
                <w:color w:val="000000"/>
                <w:sz w:val="14"/>
              </w:rPr>
              <w:t xml:space="preserve">596.58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w:t>
            </w:r>
          </w:p>
        </w:tc>
        <w:tc>
          <w:tcPr>
            <w:tcW w:w="3440" w:type="dxa"/>
            <w:tcBorders/>
            <w:vAlign w:val="center"/>
          </w:tcPr>
          <w:p>
            <w:pPr>
              <w:jc w:val="left"/>
            </w:pPr>
            <w:r>
              <w:rPr>
                <w:rFonts w:ascii="宋体" w:eastAsia="宋体" w:hAnsi="宋体" w:cs="宋体"/>
                <w:b w:val="0"/>
                <w:i w:val="0"/>
                <w:color w:val="000000"/>
                <w:sz w:val="14"/>
              </w:rPr>
              <w:t xml:space="preserve">普通教育</w:t>
            </w:r>
          </w:p>
        </w:tc>
        <w:tc>
          <w:tcPr>
            <w:tcW w:w="1060" w:type="dxa"/>
            <w:tcBorders/>
            <w:vAlign w:val="center"/>
          </w:tcPr>
          <w:p>
            <w:pPr>
              <w:jc w:val="right"/>
            </w:pPr>
            <w:r>
              <w:rPr>
                <w:rFonts w:ascii="宋体" w:eastAsia="宋体" w:hAnsi="宋体" w:cs="宋体"/>
                <w:b w:val="0"/>
                <w:i w:val="0"/>
                <w:color w:val="000000"/>
                <w:sz w:val="14"/>
              </w:rPr>
              <w:t xml:space="preserve">2,864.70</w:t>
            </w:r>
          </w:p>
        </w:tc>
        <w:tc>
          <w:tcPr>
            <w:tcW w:w="1060" w:type="dxa"/>
            <w:tcBorders/>
            <w:vAlign w:val="center"/>
          </w:tcPr>
          <w:p>
            <w:pPr>
              <w:jc w:val="right"/>
            </w:pPr>
            <w:r>
              <w:rPr>
                <w:rFonts w:ascii="宋体" w:eastAsia="宋体" w:hAnsi="宋体" w:cs="宋体"/>
                <w:b w:val="0"/>
                <w:i w:val="0"/>
                <w:color w:val="000000"/>
                <w:sz w:val="14"/>
              </w:rPr>
              <w:t xml:space="preserve">2,387.79</w:t>
            </w:r>
          </w:p>
        </w:tc>
        <w:tc>
          <w:tcPr>
            <w:tcW w:w="1060" w:type="dxa"/>
            <w:tcBorders/>
            <w:vAlign w:val="center"/>
          </w:tcPr>
          <w:p>
            <w:pPr>
              <w:jc w:val="right"/>
            </w:pPr>
            <w:r>
              <w:rPr>
                <w:rFonts w:ascii="宋体" w:eastAsia="宋体" w:hAnsi="宋体" w:cs="宋体"/>
                <w:b w:val="0"/>
                <w:i w:val="0"/>
                <w:color w:val="000000"/>
                <w:sz w:val="14"/>
              </w:rPr>
              <w:t xml:space="preserve">476.91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2050204</w:t>
            </w:r>
          </w:p>
        </w:tc>
        <w:tc>
          <w:tcPr>
            <w:tcW w:w="3440" w:type="dxa"/>
            <w:tcBorders/>
            <w:vAlign w:val="center"/>
          </w:tcPr>
          <w:p>
            <w:pPr>
              <w:jc w:val="left"/>
            </w:pPr>
            <w:r>
              <w:rPr>
                <w:rFonts w:ascii="宋体" w:eastAsia="宋体" w:hAnsi="宋体" w:cs="宋体"/>
                <w:b w:val="0"/>
                <w:i w:val="0"/>
                <w:color w:val="000000"/>
                <w:sz w:val="14"/>
              </w:rPr>
              <w:t xml:space="preserve">高中教育</w:t>
            </w:r>
          </w:p>
        </w:tc>
        <w:tc>
          <w:tcPr>
            <w:tcW w:w="1060" w:type="dxa"/>
            <w:tcBorders/>
            <w:vAlign w:val="center"/>
          </w:tcPr>
          <w:p>
            <w:pPr>
              <w:jc w:val="right"/>
            </w:pPr>
            <w:r>
              <w:rPr>
                <w:rFonts w:ascii="宋体" w:eastAsia="宋体" w:hAnsi="宋体" w:cs="宋体"/>
                <w:b w:val="0"/>
                <w:i w:val="0"/>
                <w:color w:val="000000"/>
                <w:sz w:val="14"/>
              </w:rPr>
              <w:t xml:space="preserve">2,860.48</w:t>
            </w:r>
          </w:p>
        </w:tc>
        <w:tc>
          <w:tcPr>
            <w:tcW w:w="1060" w:type="dxa"/>
            <w:tcBorders/>
            <w:vAlign w:val="center"/>
          </w:tcPr>
          <w:p>
            <w:pPr>
              <w:jc w:val="right"/>
            </w:pPr>
            <w:r>
              <w:rPr>
                <w:rFonts w:ascii="宋体" w:eastAsia="宋体" w:hAnsi="宋体" w:cs="宋体"/>
                <w:b w:val="0"/>
                <w:i w:val="0"/>
                <w:color w:val="000000"/>
                <w:sz w:val="14"/>
              </w:rPr>
              <w:t xml:space="preserve">2,387.79</w:t>
            </w:r>
          </w:p>
        </w:tc>
        <w:tc>
          <w:tcPr>
            <w:tcW w:w="1060" w:type="dxa"/>
            <w:tcBorders/>
            <w:vAlign w:val="center"/>
          </w:tcPr>
          <w:p>
            <w:pPr>
              <w:jc w:val="right"/>
            </w:pPr>
            <w:r>
              <w:rPr>
                <w:rFonts w:ascii="宋体" w:eastAsia="宋体" w:hAnsi="宋体" w:cs="宋体"/>
                <w:b w:val="0"/>
                <w:i w:val="0"/>
                <w:color w:val="000000"/>
                <w:sz w:val="14"/>
              </w:rPr>
              <w:t xml:space="preserve">472.69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2050299</w:t>
            </w:r>
          </w:p>
        </w:tc>
        <w:tc>
          <w:tcPr>
            <w:tcW w:w="3440" w:type="dxa"/>
            <w:tcBorders/>
            <w:vAlign w:val="center"/>
          </w:tcPr>
          <w:p>
            <w:pPr>
              <w:jc w:val="left"/>
            </w:pPr>
            <w:r>
              <w:rPr>
                <w:rFonts w:ascii="宋体" w:eastAsia="宋体" w:hAnsi="宋体" w:cs="宋体"/>
                <w:b w:val="0"/>
                <w:i w:val="0"/>
                <w:color w:val="000000"/>
                <w:sz w:val="14"/>
              </w:rPr>
              <w:t xml:space="preserve">其他普通教育支出</w:t>
            </w:r>
          </w:p>
        </w:tc>
        <w:tc>
          <w:tcPr>
            <w:tcW w:w="1060" w:type="dxa"/>
            <w:tcBorders/>
            <w:vAlign w:val="center"/>
          </w:tcPr>
          <w:p>
            <w:pPr>
              <w:jc w:val="right"/>
            </w:pPr>
            <w:r>
              <w:rPr>
                <w:rFonts w:ascii="宋体" w:eastAsia="宋体" w:hAnsi="宋体" w:cs="宋体"/>
                <w:b w:val="0"/>
                <w:i w:val="0"/>
                <w:color w:val="000000"/>
                <w:sz w:val="14"/>
              </w:rPr>
              <w:t xml:space="preserve">4.22</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4.22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w:t>
            </w:r>
          </w:p>
        </w:tc>
        <w:tc>
          <w:tcPr>
            <w:tcW w:w="3440" w:type="dxa"/>
            <w:tcBorders/>
            <w:vAlign w:val="center"/>
          </w:tcPr>
          <w:p>
            <w:pPr>
              <w:jc w:val="left"/>
            </w:pPr>
            <w:r>
              <w:rPr>
                <w:rFonts w:ascii="宋体" w:eastAsia="宋体" w:hAnsi="宋体" w:cs="宋体"/>
                <w:b w:val="0"/>
                <w:i w:val="0"/>
                <w:color w:val="000000"/>
                <w:sz w:val="14"/>
              </w:rPr>
              <w:t xml:space="preserve">教育费附加安排的支出</w:t>
            </w:r>
          </w:p>
        </w:tc>
        <w:tc>
          <w:tcPr>
            <w:tcW w:w="1060" w:type="dxa"/>
            <w:tcBorders/>
            <w:vAlign w:val="center"/>
          </w:tcPr>
          <w:p>
            <w:pPr>
              <w:jc w:val="right"/>
            </w:pPr>
            <w:r>
              <w:rPr>
                <w:rFonts w:ascii="宋体" w:eastAsia="宋体" w:hAnsi="宋体" w:cs="宋体"/>
                <w:b w:val="0"/>
                <w:i w:val="0"/>
                <w:color w:val="000000"/>
                <w:sz w:val="14"/>
              </w:rPr>
              <w:t xml:space="preserve">119.67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119.67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2050999</w:t>
            </w:r>
          </w:p>
        </w:tc>
        <w:tc>
          <w:tcPr>
            <w:tcW w:w="3440" w:type="dxa"/>
            <w:tcBorders/>
            <w:vAlign w:val="center"/>
          </w:tcPr>
          <w:p>
            <w:pPr>
              <w:jc w:val="left"/>
            </w:pPr>
            <w:r>
              <w:rPr>
                <w:rFonts w:ascii="宋体" w:eastAsia="宋体" w:hAnsi="宋体" w:cs="宋体"/>
                <w:b w:val="0"/>
                <w:i w:val="0"/>
                <w:color w:val="000000"/>
                <w:sz w:val="14"/>
              </w:rPr>
              <w:t xml:space="preserve">其他教育费附加安排的支出</w:t>
            </w:r>
          </w:p>
        </w:tc>
        <w:tc>
          <w:tcPr>
            <w:tcW w:w="1060" w:type="dxa"/>
            <w:tcBorders/>
            <w:vAlign w:val="center"/>
          </w:tcPr>
          <w:p>
            <w:pPr>
              <w:jc w:val="right"/>
            </w:pPr>
            <w:r>
              <w:rPr>
                <w:rFonts w:ascii="宋体" w:eastAsia="宋体" w:hAnsi="宋体" w:cs="宋体"/>
                <w:b w:val="0"/>
                <w:i w:val="0"/>
                <w:color w:val="000000"/>
                <w:sz w:val="14"/>
              </w:rPr>
              <w:t xml:space="preserve">119.67</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119.67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44.46</w:t>
            </w:r>
          </w:p>
        </w:tc>
        <w:tc>
          <w:tcPr>
            <w:tcW w:w="1060" w:type="dxa"/>
            <w:tcBorders/>
            <w:vAlign w:val="center"/>
          </w:tcPr>
          <w:p>
            <w:pPr>
              <w:jc w:val="right"/>
            </w:pPr>
            <w:r>
              <w:rPr>
                <w:rFonts w:ascii="宋体" w:eastAsia="宋体" w:hAnsi="宋体" w:cs="宋体"/>
                <w:b w:val="0"/>
                <w:i w:val="0"/>
                <w:color w:val="000000"/>
                <w:sz w:val="14"/>
              </w:rPr>
              <w:t xml:space="preserve">44.46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43.04</w:t>
            </w:r>
          </w:p>
        </w:tc>
        <w:tc>
          <w:tcPr>
            <w:tcW w:w="1060" w:type="dxa"/>
            <w:tcBorders/>
            <w:vAlign w:val="center"/>
          </w:tcPr>
          <w:p>
            <w:pPr>
              <w:jc w:val="right"/>
            </w:pPr>
            <w:r>
              <w:rPr>
                <w:rFonts w:ascii="宋体" w:eastAsia="宋体" w:hAnsi="宋体" w:cs="宋体"/>
                <w:b w:val="0"/>
                <w:i w:val="0"/>
                <w:color w:val="000000"/>
                <w:sz w:val="14"/>
              </w:rPr>
              <w:t xml:space="preserve">43.04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14.96</w:t>
            </w:r>
          </w:p>
        </w:tc>
        <w:tc>
          <w:tcPr>
            <w:tcW w:w="1060" w:type="dxa"/>
            <w:tcBorders/>
            <w:vAlign w:val="center"/>
          </w:tcPr>
          <w:p>
            <w:pPr>
              <w:jc w:val="right"/>
            </w:pPr>
            <w:r>
              <w:rPr>
                <w:rFonts w:ascii="宋体" w:eastAsia="宋体" w:hAnsi="宋体" w:cs="宋体"/>
                <w:b w:val="0"/>
                <w:i w:val="0"/>
                <w:color w:val="000000"/>
                <w:sz w:val="14"/>
              </w:rPr>
              <w:t xml:space="preserve">14.96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28.08</w:t>
            </w:r>
          </w:p>
        </w:tc>
        <w:tc>
          <w:tcPr>
            <w:tcW w:w="1060" w:type="dxa"/>
            <w:tcBorders/>
            <w:vAlign w:val="center"/>
          </w:tcPr>
          <w:p>
            <w:pPr>
              <w:jc w:val="right"/>
            </w:pPr>
            <w:r>
              <w:rPr>
                <w:rFonts w:ascii="宋体" w:eastAsia="宋体" w:hAnsi="宋体" w:cs="宋体"/>
                <w:b w:val="0"/>
                <w:i w:val="0"/>
                <w:color w:val="000000"/>
                <w:sz w:val="14"/>
              </w:rPr>
              <w:t xml:space="preserve">28.08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1.42</w:t>
            </w:r>
          </w:p>
        </w:tc>
        <w:tc>
          <w:tcPr>
            <w:tcW w:w="1060" w:type="dxa"/>
            <w:tcBorders/>
            <w:vAlign w:val="center"/>
          </w:tcPr>
          <w:p>
            <w:pPr>
              <w:jc w:val="right"/>
            </w:pPr>
            <w:r>
              <w:rPr>
                <w:rFonts w:ascii="宋体" w:eastAsia="宋体" w:hAnsi="宋体" w:cs="宋体"/>
                <w:b w:val="0"/>
                <w:i w:val="0"/>
                <w:color w:val="000000"/>
                <w:sz w:val="14"/>
              </w:rPr>
              <w:t xml:space="preserve">1.42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1.42</w:t>
            </w:r>
          </w:p>
        </w:tc>
        <w:tc>
          <w:tcPr>
            <w:tcW w:w="1060" w:type="dxa"/>
            <w:tcBorders/>
            <w:vAlign w:val="center"/>
          </w:tcPr>
          <w:p>
            <w:pPr>
              <w:jc w:val="right"/>
            </w:pPr>
            <w:r>
              <w:rPr>
                <w:rFonts w:ascii="宋体" w:eastAsia="宋体" w:hAnsi="宋体" w:cs="宋体"/>
                <w:b w:val="0"/>
                <w:i w:val="0"/>
                <w:color w:val="000000"/>
                <w:sz w:val="14"/>
              </w:rPr>
              <w:t xml:space="preserve">1.42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单位：辽宁省沈阳市第五十一中学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2,864.77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jc w:val="right"/>
            </w:pPr>
            <w:r>
              <w:rPr>
                <w:rFonts w:ascii="宋体" w:eastAsia="宋体" w:hAnsi="宋体" w:cs="宋体"/>
                <w:b w:val="0"/>
                <w:i w:val="0"/>
                <w:color w:val="000000"/>
                <w:sz w:val="14"/>
              </w:rPr>
              <w:t xml:space="preserve">2,820.31</w:t>
            </w:r>
          </w:p>
        </w:tc>
        <w:tc>
          <w:tcPr>
            <w:tcW w:w="1100" w:type="dxa"/>
            <w:tcBorders/>
            <w:vAlign w:val="center"/>
          </w:tcPr>
          <w:p>
            <w:pPr>
              <w:jc w:val="right"/>
            </w:pPr>
            <w:r>
              <w:rPr>
                <w:rFonts w:ascii="宋体" w:eastAsia="宋体" w:hAnsi="宋体" w:cs="宋体"/>
                <w:b w:val="0"/>
                <w:i w:val="0"/>
                <w:color w:val="000000"/>
                <w:sz w:val="14"/>
              </w:rPr>
              <w:t xml:space="preserve">2,820.31</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44.46</w:t>
            </w:r>
          </w:p>
        </w:tc>
        <w:tc>
          <w:tcPr>
            <w:tcW w:w="1100" w:type="dxa"/>
            <w:tcBorders/>
            <w:vAlign w:val="center"/>
          </w:tcPr>
          <w:p>
            <w:pPr>
              <w:jc w:val="right"/>
            </w:pPr>
            <w:r>
              <w:rPr>
                <w:rFonts w:ascii="宋体" w:eastAsia="宋体" w:hAnsi="宋体" w:cs="宋体"/>
                <w:b w:val="0"/>
                <w:i w:val="0"/>
                <w:color w:val="000000"/>
                <w:sz w:val="14"/>
              </w:rPr>
              <w:t xml:space="preserve">44.46</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2,864.77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2,864.77</w:t>
            </w:r>
          </w:p>
        </w:tc>
        <w:tc>
          <w:tcPr>
            <w:tcW w:w="1100" w:type="dxa"/>
            <w:tcBorders/>
            <w:vAlign w:val="center"/>
          </w:tcPr>
          <w:p>
            <w:pPr>
              <w:jc w:val="right"/>
            </w:pPr>
            <w:r>
              <w:rPr>
                <w:rFonts w:ascii="宋体" w:eastAsia="宋体" w:hAnsi="宋体" w:cs="宋体"/>
                <w:b w:val="0"/>
                <w:i w:val="0"/>
                <w:color w:val="000000"/>
                <w:sz w:val="14"/>
              </w:rPr>
              <w:t xml:space="preserve">2,864.77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2,864.77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2,864.77</w:t>
            </w:r>
          </w:p>
        </w:tc>
        <w:tc>
          <w:tcPr>
            <w:tcW w:w="1100" w:type="dxa"/>
            <w:tcBorders/>
            <w:vAlign w:val="center"/>
          </w:tcPr>
          <w:p>
            <w:pPr>
              <w:jc w:val="right"/>
            </w:pPr>
            <w:r>
              <w:rPr>
                <w:rFonts w:ascii="宋体" w:eastAsia="宋体" w:hAnsi="宋体" w:cs="宋体"/>
                <w:b w:val="0"/>
                <w:i w:val="0"/>
                <w:color w:val="000000"/>
                <w:sz w:val="14"/>
              </w:rPr>
              <w:t xml:space="preserve">2,864.77</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单位：辽宁省沈阳市第五十一中学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2,864.77</w:t>
            </w:r>
          </w:p>
        </w:tc>
        <w:tc>
          <w:tcPr>
            <w:tcW w:w="1780" w:type="dxa"/>
            <w:tcBorders/>
            <w:vAlign w:val="center"/>
          </w:tcPr>
          <w:p>
            <w:pPr>
              <w:jc w:val="right"/>
            </w:pPr>
            <w:r>
              <w:rPr>
                <w:rFonts w:ascii="宋体" w:eastAsia="宋体" w:hAnsi="宋体" w:cs="宋体"/>
                <w:b/>
                <w:i w:val="0"/>
                <w:color w:val="000000"/>
                <w:sz w:val="18"/>
              </w:rPr>
              <w:t xml:space="preserve">2,432.25</w:t>
            </w:r>
          </w:p>
        </w:tc>
        <w:tc>
          <w:tcPr>
            <w:tcW w:w="1772" w:type="dxa"/>
            <w:tcBorders/>
            <w:vAlign w:val="center"/>
          </w:tcPr>
          <w:p>
            <w:pPr>
              <w:jc w:val="right"/>
            </w:pPr>
            <w:r>
              <w:rPr>
                <w:rFonts w:ascii="宋体" w:eastAsia="宋体" w:hAnsi="宋体" w:cs="宋体"/>
                <w:b/>
                <w:i w:val="0"/>
                <w:color w:val="000000"/>
                <w:sz w:val="18"/>
              </w:rPr>
              <w:t xml:space="preserve">432.52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w:t>
            </w:r>
          </w:p>
        </w:tc>
        <w:tc>
          <w:tcPr>
            <w:tcW w:w="4300" w:type="dxa"/>
            <w:tcBorders/>
            <w:vAlign w:val="center"/>
          </w:tcPr>
          <w:p>
            <w:pPr>
              <w:jc w:val="left"/>
            </w:pPr>
            <w:r>
              <w:rPr>
                <w:rFonts w:ascii="宋体" w:eastAsia="宋体" w:hAnsi="宋体" w:cs="宋体"/>
                <w:b w:val="0"/>
                <w:i w:val="0"/>
                <w:color w:val="000000"/>
                <w:sz w:val="18"/>
              </w:rPr>
              <w:t xml:space="preserve">教育支出</w:t>
            </w:r>
          </w:p>
        </w:tc>
        <w:tc>
          <w:tcPr>
            <w:tcW w:w="1780" w:type="dxa"/>
            <w:tcBorders/>
            <w:vAlign w:val="center"/>
          </w:tcPr>
          <w:p>
            <w:pPr>
              <w:jc w:val="right"/>
            </w:pPr>
            <w:r>
              <w:rPr>
                <w:rFonts w:ascii="宋体" w:eastAsia="宋体" w:hAnsi="宋体" w:cs="宋体"/>
                <w:b w:val="0"/>
                <w:i w:val="0"/>
                <w:color w:val="000000"/>
                <w:sz w:val="18"/>
              </w:rPr>
              <w:t xml:space="preserve">2,820.31</w:t>
            </w:r>
          </w:p>
        </w:tc>
        <w:tc>
          <w:tcPr>
            <w:tcW w:w="1780" w:type="dxa"/>
            <w:tcBorders/>
            <w:vAlign w:val="center"/>
          </w:tcPr>
          <w:p>
            <w:pPr>
              <w:jc w:val="right"/>
            </w:pPr>
            <w:r>
              <w:rPr>
                <w:rFonts w:ascii="宋体" w:eastAsia="宋体" w:hAnsi="宋体" w:cs="宋体"/>
                <w:b w:val="0"/>
                <w:i w:val="0"/>
                <w:color w:val="000000"/>
                <w:sz w:val="18"/>
              </w:rPr>
              <w:t xml:space="preserve">2,387.79</w:t>
            </w:r>
          </w:p>
        </w:tc>
        <w:tc>
          <w:tcPr>
            <w:tcW w:w="1772" w:type="dxa"/>
            <w:tcBorders/>
            <w:vAlign w:val="center"/>
          </w:tcPr>
          <w:p>
            <w:pPr>
              <w:jc w:val="right"/>
            </w:pPr>
            <w:r>
              <w:rPr>
                <w:rFonts w:ascii="宋体" w:eastAsia="宋体" w:hAnsi="宋体" w:cs="宋体"/>
                <w:b w:val="0"/>
                <w:i w:val="0"/>
                <w:color w:val="000000"/>
                <w:sz w:val="18"/>
              </w:rPr>
              <w:t xml:space="preserve">432.52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w:t>
            </w:r>
          </w:p>
        </w:tc>
        <w:tc>
          <w:tcPr>
            <w:tcW w:w="4300" w:type="dxa"/>
            <w:tcBorders/>
            <w:vAlign w:val="center"/>
          </w:tcPr>
          <w:p>
            <w:pPr>
              <w:jc w:val="left"/>
            </w:pPr>
            <w:r>
              <w:rPr>
                <w:rFonts w:ascii="宋体" w:eastAsia="宋体" w:hAnsi="宋体" w:cs="宋体"/>
                <w:b w:val="0"/>
                <w:i w:val="0"/>
                <w:color w:val="000000"/>
                <w:sz w:val="18"/>
              </w:rPr>
              <w:t xml:space="preserve">普通教育</w:t>
            </w:r>
          </w:p>
        </w:tc>
        <w:tc>
          <w:tcPr>
            <w:tcW w:w="1780" w:type="dxa"/>
            <w:tcBorders/>
            <w:vAlign w:val="center"/>
          </w:tcPr>
          <w:p>
            <w:pPr>
              <w:jc w:val="right"/>
            </w:pPr>
            <w:r>
              <w:rPr>
                <w:rFonts w:ascii="宋体" w:eastAsia="宋体" w:hAnsi="宋体" w:cs="宋体"/>
                <w:b w:val="0"/>
                <w:i w:val="0"/>
                <w:color w:val="000000"/>
                <w:sz w:val="18"/>
              </w:rPr>
              <w:t xml:space="preserve">2,700.64</w:t>
            </w:r>
          </w:p>
        </w:tc>
        <w:tc>
          <w:tcPr>
            <w:tcW w:w="1780" w:type="dxa"/>
            <w:tcBorders/>
            <w:vAlign w:val="center"/>
          </w:tcPr>
          <w:p>
            <w:pPr>
              <w:jc w:val="right"/>
            </w:pPr>
            <w:r>
              <w:rPr>
                <w:rFonts w:ascii="宋体" w:eastAsia="宋体" w:hAnsi="宋体" w:cs="宋体"/>
                <w:b w:val="0"/>
                <w:i w:val="0"/>
                <w:color w:val="000000"/>
                <w:sz w:val="18"/>
              </w:rPr>
              <w:t xml:space="preserve">2,387.79</w:t>
            </w:r>
          </w:p>
        </w:tc>
        <w:tc>
          <w:tcPr>
            <w:tcW w:w="1772" w:type="dxa"/>
            <w:tcBorders/>
            <w:vAlign w:val="center"/>
          </w:tcPr>
          <w:p>
            <w:pPr>
              <w:jc w:val="right"/>
            </w:pPr>
            <w:r>
              <w:rPr>
                <w:rFonts w:ascii="宋体" w:eastAsia="宋体" w:hAnsi="宋体" w:cs="宋体"/>
                <w:b w:val="0"/>
                <w:i w:val="0"/>
                <w:color w:val="000000"/>
                <w:sz w:val="18"/>
              </w:rPr>
              <w:t xml:space="preserve">312.85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2050204</w:t>
            </w:r>
          </w:p>
        </w:tc>
        <w:tc>
          <w:tcPr>
            <w:tcW w:w="4300" w:type="dxa"/>
            <w:tcBorders/>
            <w:vAlign w:val="center"/>
          </w:tcPr>
          <w:p>
            <w:pPr>
              <w:jc w:val="left"/>
            </w:pPr>
            <w:r>
              <w:rPr>
                <w:rFonts w:ascii="宋体" w:eastAsia="宋体" w:hAnsi="宋体" w:cs="宋体"/>
                <w:b w:val="0"/>
                <w:i w:val="0"/>
                <w:color w:val="000000"/>
                <w:sz w:val="18"/>
              </w:rPr>
              <w:t xml:space="preserve">高中教育</w:t>
            </w:r>
          </w:p>
        </w:tc>
        <w:tc>
          <w:tcPr>
            <w:tcW w:w="1780" w:type="dxa"/>
            <w:tcBorders/>
            <w:vAlign w:val="center"/>
          </w:tcPr>
          <w:p>
            <w:pPr>
              <w:jc w:val="right"/>
            </w:pPr>
            <w:r>
              <w:rPr>
                <w:rFonts w:ascii="宋体" w:eastAsia="宋体" w:hAnsi="宋体" w:cs="宋体"/>
                <w:b w:val="0"/>
                <w:i w:val="0"/>
                <w:color w:val="000000"/>
                <w:sz w:val="18"/>
              </w:rPr>
              <w:t xml:space="preserve">2,700.64</w:t>
            </w:r>
          </w:p>
        </w:tc>
        <w:tc>
          <w:tcPr>
            <w:tcW w:w="1780" w:type="dxa"/>
            <w:tcBorders/>
            <w:vAlign w:val="center"/>
          </w:tcPr>
          <w:p>
            <w:pPr>
              <w:jc w:val="right"/>
            </w:pPr>
            <w:r>
              <w:rPr>
                <w:rFonts w:ascii="宋体" w:eastAsia="宋体" w:hAnsi="宋体" w:cs="宋体"/>
                <w:b w:val="0"/>
                <w:i w:val="0"/>
                <w:color w:val="000000"/>
                <w:sz w:val="18"/>
              </w:rPr>
              <w:t xml:space="preserve">2,387.79</w:t>
            </w:r>
          </w:p>
        </w:tc>
        <w:tc>
          <w:tcPr>
            <w:tcW w:w="1772" w:type="dxa"/>
            <w:tcBorders/>
            <w:vAlign w:val="center"/>
          </w:tcPr>
          <w:p>
            <w:pPr>
              <w:jc w:val="right"/>
            </w:pPr>
            <w:r>
              <w:rPr>
                <w:rFonts w:ascii="宋体" w:eastAsia="宋体" w:hAnsi="宋体" w:cs="宋体"/>
                <w:b w:val="0"/>
                <w:i w:val="0"/>
                <w:color w:val="000000"/>
                <w:sz w:val="18"/>
              </w:rPr>
              <w:t xml:space="preserve">312.85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w:t>
            </w:r>
          </w:p>
        </w:tc>
        <w:tc>
          <w:tcPr>
            <w:tcW w:w="4300" w:type="dxa"/>
            <w:tcBorders/>
            <w:vAlign w:val="center"/>
          </w:tcPr>
          <w:p>
            <w:pPr>
              <w:jc w:val="left"/>
            </w:pPr>
            <w:r>
              <w:rPr>
                <w:rFonts w:ascii="宋体" w:eastAsia="宋体" w:hAnsi="宋体" w:cs="宋体"/>
                <w:b w:val="0"/>
                <w:i w:val="0"/>
                <w:color w:val="000000"/>
                <w:sz w:val="18"/>
              </w:rPr>
              <w:t xml:space="preserve">教育费附加安排的支出</w:t>
            </w:r>
          </w:p>
        </w:tc>
        <w:tc>
          <w:tcPr>
            <w:tcW w:w="1780" w:type="dxa"/>
            <w:tcBorders/>
            <w:vAlign w:val="center"/>
          </w:tcPr>
          <w:p>
            <w:pPr>
              <w:jc w:val="right"/>
            </w:pPr>
            <w:r>
              <w:rPr>
                <w:rFonts w:ascii="宋体" w:eastAsia="宋体" w:hAnsi="宋体" w:cs="宋体"/>
                <w:b w:val="0"/>
                <w:i w:val="0"/>
                <w:color w:val="000000"/>
                <w:sz w:val="18"/>
              </w:rPr>
              <w:t xml:space="preserve">119.67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119.67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2050999</w:t>
            </w:r>
          </w:p>
        </w:tc>
        <w:tc>
          <w:tcPr>
            <w:tcW w:w="4300" w:type="dxa"/>
            <w:tcBorders/>
            <w:vAlign w:val="center"/>
          </w:tcPr>
          <w:p>
            <w:pPr>
              <w:jc w:val="left"/>
            </w:pPr>
            <w:r>
              <w:rPr>
                <w:rFonts w:ascii="宋体" w:eastAsia="宋体" w:hAnsi="宋体" w:cs="宋体"/>
                <w:b w:val="0"/>
                <w:i w:val="0"/>
                <w:color w:val="000000"/>
                <w:sz w:val="18"/>
              </w:rPr>
              <w:t xml:space="preserve">其他教育费附加安排的支出</w:t>
            </w:r>
          </w:p>
        </w:tc>
        <w:tc>
          <w:tcPr>
            <w:tcW w:w="1780" w:type="dxa"/>
            <w:tcBorders/>
            <w:vAlign w:val="center"/>
          </w:tcPr>
          <w:p>
            <w:pPr>
              <w:jc w:val="right"/>
            </w:pPr>
            <w:r>
              <w:rPr>
                <w:rFonts w:ascii="宋体" w:eastAsia="宋体" w:hAnsi="宋体" w:cs="宋体"/>
                <w:b w:val="0"/>
                <w:i w:val="0"/>
                <w:color w:val="000000"/>
                <w:sz w:val="18"/>
              </w:rPr>
              <w:t xml:space="preserve">119.67</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119.67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44.46</w:t>
            </w:r>
          </w:p>
        </w:tc>
        <w:tc>
          <w:tcPr>
            <w:tcW w:w="1780" w:type="dxa"/>
            <w:tcBorders/>
            <w:vAlign w:val="center"/>
          </w:tcPr>
          <w:p>
            <w:pPr>
              <w:jc w:val="right"/>
            </w:pPr>
            <w:r>
              <w:rPr>
                <w:rFonts w:ascii="宋体" w:eastAsia="宋体" w:hAnsi="宋体" w:cs="宋体"/>
                <w:b w:val="0"/>
                <w:i w:val="0"/>
                <w:color w:val="000000"/>
                <w:sz w:val="18"/>
              </w:rPr>
              <w:t xml:space="preserve">44.46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43.04</w:t>
            </w:r>
          </w:p>
        </w:tc>
        <w:tc>
          <w:tcPr>
            <w:tcW w:w="1780" w:type="dxa"/>
            <w:tcBorders/>
            <w:vAlign w:val="center"/>
          </w:tcPr>
          <w:p>
            <w:pPr>
              <w:jc w:val="right"/>
            </w:pPr>
            <w:r>
              <w:rPr>
                <w:rFonts w:ascii="宋体" w:eastAsia="宋体" w:hAnsi="宋体" w:cs="宋体"/>
                <w:b w:val="0"/>
                <w:i w:val="0"/>
                <w:color w:val="000000"/>
                <w:sz w:val="18"/>
              </w:rPr>
              <w:t xml:space="preserve">43.04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14.96</w:t>
            </w:r>
          </w:p>
        </w:tc>
        <w:tc>
          <w:tcPr>
            <w:tcW w:w="1780" w:type="dxa"/>
            <w:tcBorders/>
            <w:vAlign w:val="center"/>
          </w:tcPr>
          <w:p>
            <w:pPr>
              <w:jc w:val="right"/>
            </w:pPr>
            <w:r>
              <w:rPr>
                <w:rFonts w:ascii="宋体" w:eastAsia="宋体" w:hAnsi="宋体" w:cs="宋体"/>
                <w:b w:val="0"/>
                <w:i w:val="0"/>
                <w:color w:val="000000"/>
                <w:sz w:val="18"/>
              </w:rPr>
              <w:t xml:space="preserve">14.96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28.08</w:t>
            </w:r>
          </w:p>
        </w:tc>
        <w:tc>
          <w:tcPr>
            <w:tcW w:w="1780" w:type="dxa"/>
            <w:tcBorders/>
            <w:vAlign w:val="center"/>
          </w:tcPr>
          <w:p>
            <w:pPr>
              <w:jc w:val="right"/>
            </w:pPr>
            <w:r>
              <w:rPr>
                <w:rFonts w:ascii="宋体" w:eastAsia="宋体" w:hAnsi="宋体" w:cs="宋体"/>
                <w:b w:val="0"/>
                <w:i w:val="0"/>
                <w:color w:val="000000"/>
                <w:sz w:val="18"/>
              </w:rPr>
              <w:t xml:space="preserve">28.08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1.42</w:t>
            </w:r>
          </w:p>
        </w:tc>
        <w:tc>
          <w:tcPr>
            <w:tcW w:w="1780" w:type="dxa"/>
            <w:tcBorders/>
            <w:vAlign w:val="center"/>
          </w:tcPr>
          <w:p>
            <w:pPr>
              <w:jc w:val="right"/>
            </w:pPr>
            <w:r>
              <w:rPr>
                <w:rFonts w:ascii="宋体" w:eastAsia="宋体" w:hAnsi="宋体" w:cs="宋体"/>
                <w:b w:val="0"/>
                <w:i w:val="0"/>
                <w:color w:val="000000"/>
                <w:sz w:val="18"/>
              </w:rPr>
              <w:t xml:space="preserve">1.42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1.42</w:t>
            </w:r>
          </w:p>
        </w:tc>
        <w:tc>
          <w:tcPr>
            <w:tcW w:w="1780" w:type="dxa"/>
            <w:tcBorders/>
            <w:vAlign w:val="center"/>
          </w:tcPr>
          <w:p>
            <w:pPr>
              <w:jc w:val="right"/>
            </w:pPr>
            <w:r>
              <w:rPr>
                <w:rFonts w:ascii="宋体" w:eastAsia="宋体" w:hAnsi="宋体" w:cs="宋体"/>
                <w:b w:val="0"/>
                <w:i w:val="0"/>
                <w:color w:val="000000"/>
                <w:sz w:val="18"/>
              </w:rPr>
              <w:t xml:space="preserve">1.42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单位：辽宁省沈阳市第五十一中学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2,244.61</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138.67</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882.43</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46.48</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273.16</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71.30</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24.18</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527.40</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jc w:val="right"/>
            </w:pPr>
            <w:r>
              <w:rPr>
                <w:rFonts w:ascii="宋体" w:eastAsia="宋体" w:hAnsi="宋体" w:cs="宋体"/>
                <w:b w:val="0"/>
                <w:i w:val="0"/>
                <w:color w:val="000000"/>
                <w:sz w:val="14"/>
              </w:rPr>
              <w:t xml:space="preserve">6.24</w:t>
            </w: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294.87</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20.12</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28.08</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1.50</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122.86</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20.33</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3.86</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20.77</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48.97</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jc w:val="right"/>
            </w:pPr>
            <w:r>
              <w:rPr>
                <w:rFonts w:ascii="宋体" w:eastAsia="宋体" w:hAnsi="宋体" w:cs="宋体"/>
                <w:b w:val="0"/>
                <w:i w:val="0"/>
                <w:color w:val="000000"/>
                <w:sz w:val="14"/>
              </w:rPr>
              <w:t xml:space="preserve">0.08</w:t>
            </w: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0.86</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14.96</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jc w:val="right"/>
            </w:pPr>
            <w:r>
              <w:rPr>
                <w:rFonts w:ascii="宋体" w:eastAsia="宋体" w:hAnsi="宋体" w:cs="宋体"/>
                <w:b w:val="0"/>
                <w:i w:val="0"/>
                <w:color w:val="000000"/>
                <w:sz w:val="14"/>
              </w:rPr>
              <w:t xml:space="preserve">4.44</w:t>
            </w: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32.77</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1.24</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jc w:val="right"/>
            </w:pPr>
            <w:r>
              <w:rPr>
                <w:rFonts w:ascii="宋体" w:eastAsia="宋体" w:hAnsi="宋体" w:cs="宋体"/>
                <w:b w:val="0"/>
                <w:i w:val="0"/>
                <w:color w:val="000000"/>
                <w:sz w:val="14"/>
              </w:rPr>
              <w:t xml:space="preserve">11.71</w:t>
            </w: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17.93</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1.68</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jc w:val="right"/>
            </w:pPr>
            <w:r>
              <w:rPr>
                <w:rFonts w:ascii="宋体" w:eastAsia="宋体" w:hAnsi="宋体" w:cs="宋体"/>
                <w:b w:val="0"/>
                <w:i w:val="0"/>
                <w:color w:val="000000"/>
                <w:sz w:val="14"/>
              </w:rPr>
              <w:t xml:space="preserve">3.01</w:t>
            </w: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2,293.58</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138.67</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单位：辽宁省沈阳市第五十一中学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单位：辽宁省沈阳市第五十一中学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单位：辽宁省沈阳市第五十一中学</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023002沈阳市第五十一中学-210112000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2787.59</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2787.59</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基本支出公用经费(其他)</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120.75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120.74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17.93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17.92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2175.38</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2175.38</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118.20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118.19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保证学校日常工作顺利开展</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已完成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有利于提高综合国力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提高素质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受训学员满意度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当地群众总体满意度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部门内控制度完善提升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完善制度</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人才队伍建设</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提高素质</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教师绩效-2024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沈阳市第五十一中学-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167.94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167.94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合理的义务教育学校教师绩效工资政策可以满足不同主体的价值选择,充分发挥工资的激励性作用,它适合教育发展规律,有利于促进义务教育的健康发展。教师绩效工资政策应该有效消除绩效工资政策中的价值冲突,统一教育的公平与效率,提高绩效工资激励作用的有效性。"1.教师2000元/人/月，全系统在编教师3149名*12*2000=7557.6万元，区合同制教师629名*12*2000=1509.6万元，全年绩效工资9067.2万元；2.正校级3000元/人/月，全系统120名正校级干部,120人*12*3000=432万元。3.计划新招聘教师400名，400人*2000元*4个月=320万；4.合作办学校长1人（侯明飞）每月8000元，副校级1人（时泉）每月5000元，共计15.6万元。共计9834.8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教育教学经费-2024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沈阳市第五十一中学-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为确保学校正常运行，各级各类教育教学活动顺利开展，教育经费及时足额进行保障。基建、维修、采购等各类项目均在实施过程中，项目进展情况较上半年有明显提，按照区教育局工作安排，结合各级各类学校实际需求，安排项目资金，用以解决教育教学中实际问题。</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绩效目标已经完成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足额交纳率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普通高中生均公用经费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沈阳市第五十一中学-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207.03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207.03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人民政府关于印发沈阳市进一步完善城乡义务教育经费保障机制实施方案的通知》（沈政发〔2016〕34号）确保区域内各级各类学校正常运转，资金拨付具有必要性，确保教育教学工作顺利开展，师生在校能够安心教学。保障高中生均经费及时足额下拨。</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已经完成高中生均经费的支出，完成高中教育教学任务。</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生均拨款水平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资金拨付及时率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0.22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优化校园教学生活环境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优化环境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提高经费使用率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改善校内生态环境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生态均衡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提升义务教育薄弱环节改善与能力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提升能力</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服务群体满意度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区聘教师经费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沈阳市第五十一中学-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辽宁省事业单位工作人员奖励实施细则》（辽人社规【2020年】1号）、《浑南新区教育系统合同聘用制教师管理办法》，1.现有区聘教师632人。1.工会经费：1291.776元*632人=81.65万元。2.福利费：632人×120元=7.584万元。3.医疗补助：19.07万。4.取暖补贴：144.144万。5.党员活动费1.75万，伙食补贴119.448万元。共计373.646万元。2.合同制教师2023年考核奖励，考核结果优秀即为嘉奖，奖金标准为1500元/人，人数为总人数的20%，考核结果为记功，奖金标准为3000元/人，人数为总人数的2%。22.752万元。共计396.398万元</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学生资助-2024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沈阳市第五十一中学-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22.06</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22.06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沈阳市财政局 沈阳市教育局转发省财政厅 省教育厅关于建立学前教育资助的意见的通知 沈财教[2013]441号 ，关于完善义务教育家庭经济困难学生生活补助政策的通知 辽财教〔2018〕654号，关于完善义务教育家庭经济困难学生生活补助政策的通知 辽财教〔2018〕655号，关于进一步明确普通高中政府助学金资助政策相关事宜的通知 沈教发〔2010〕89号，沈阳市财政局 沈阳市教育局 关于沈阳市实施普通高中家庭经济困难学生免学杂费政策的通知 沈财教〔2016〕804号，沈阳市财政局 沈阳市教育局 关于沈阳市实施普通高中家庭经济困难学生免学杂费政策的通知 沈财教〔2016〕804号，关于扩大中等职业教育免学费政策范围进一步完善国家助学金制度的意见 辽财教〔2012〕915号2024年学前资助资金2.4万元，2024年义教（小学）资助资金19.95万元，2024年义教（初中）资助资金19.95万，其中住宿生资助资金为1.875万元，非住宿生资助资金12.15万元，2024年高中助学金资助资金39.2万元，24年高中免学杂费资助资金22.68万元，2024年中职助学金资助，目标可实施</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预算外经费-2024</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沈阳市浑南区教育局-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沈阳市第五十一中学-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152.25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152.25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高中收取学费、住宿费纳入预算外专户管理，是高中生均经费的一部分，其中学费每学年每生1400元，学费每生每年400元。五十一中学账户余额792.8万元；浑南高级中学余额107.63万元，共计900.43万元。高中经费是教育支出重要组成部分，是保障高中顺利进行各项教育教学工作的保障，是教育均衡发展考核的重要指标，同时，也是国家、省、市各部门重点检查的项目，为保障高中教育平稳运行，顺利开展各项教育教学活动，需予以保障。</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预算外经费支出已经完成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全力保障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