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辽宁省沈阳市第一二六中学浑南分校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辽宁省沈阳市第一二六中学浑南分校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辽宁省沈阳市第一二六中学浑南分校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辽宁省沈阳市第一二六中学浑南分校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辽宁省沈阳市第一二六中学浑南分校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辽宁省沈阳市第一二六中学浑南分校概况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我校隶属于沈阳市浑南区教育局，为全额拨款的事业单位公办初级中学。我单位贯彻执行国家和省市区教育方针、政策，完成初中义务教育教学任务，为上级学校及社会培养德智体美等方面合格的毕业生。</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辽宁省沈阳市第一二六中学浑南分校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沈阳市第一二六中学浑南分校是纳入浑南区教育局2024年部门决算编制范围的二级预算单位,本单位无下设机构。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769.60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769.02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769.02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0.58</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主要是教育事业捐赠和工作坊经费结余等。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增加41.45万元，增长5.69%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学生人数增加，收入增加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769.60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557.26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72.41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工资福利支出548.07万元；商品和服务支出9.20万元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212.34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27.59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主要包括城乡义务教育补助经费、教育教学经费、专用设备购置等业务支出。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增加42.03万元，增长5.78%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教师工资及社保等调整导致人员经费增加，支出增加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减少0.58万元，降低100.00%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教育事业发展捐赠结清</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769.02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557.26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211.76</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增加60.48万元，增长8.54%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教师工资及社保等调整导致人员经费增加，支出增加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113.66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82.36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2024年度一般公共预算财政拨款支出769.02万元。按支出功能分类科目分，包括：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1.教育支出769.02万元，具体包括：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初中教育（项）764.02万元,主要是工资福利支出、商品和服务、对个人和家庭的补助、资本性资金等支出，完成年初预算的99.92%，决算数与年初预算数存在差异的主要原因是完全按照预算执行，决算数与预算数几乎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5.00万元,主要是教育费附加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557.27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548.07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9.20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676.59万元。其中，一般公共预算资金676.59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得分在60分以下、等级为“差”的项目有0个。各项目自评发现，部分项目存在0问题，       </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769.02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769.60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769.02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769.60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0.58</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769.60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769.60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769.02</w:t>
            </w:r>
          </w:p>
        </w:tc>
        <w:tc>
          <w:tcPr>
            <w:tcW w:w="960" w:type="dxa"/>
            <w:tcBorders/>
            <w:vAlign w:val="center"/>
          </w:tcPr>
          <w:p>
            <w:pPr>
              <w:jc w:val="right"/>
            </w:pPr>
            <w:r>
              <w:rPr>
                <w:rFonts w:ascii="宋体" w:eastAsia="宋体" w:hAnsi="宋体" w:cs="宋体"/>
                <w:b/>
                <w:i w:val="0"/>
                <w:color w:val="000000"/>
                <w:sz w:val="13"/>
              </w:rPr>
              <w:t xml:space="preserve">769.02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769.02</w:t>
            </w:r>
          </w:p>
        </w:tc>
        <w:tc>
          <w:tcPr>
            <w:tcW w:w="960" w:type="dxa"/>
            <w:tcBorders/>
            <w:vAlign w:val="center"/>
          </w:tcPr>
          <w:p>
            <w:pPr>
              <w:jc w:val="right"/>
            </w:pPr>
            <w:r>
              <w:rPr>
                <w:rFonts w:ascii="宋体" w:eastAsia="宋体" w:hAnsi="宋体" w:cs="宋体"/>
                <w:b w:val="0"/>
                <w:i w:val="0"/>
                <w:color w:val="000000"/>
                <w:sz w:val="13"/>
              </w:rPr>
              <w:t xml:space="preserve">769.02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764.02</w:t>
            </w:r>
          </w:p>
        </w:tc>
        <w:tc>
          <w:tcPr>
            <w:tcW w:w="960" w:type="dxa"/>
            <w:tcBorders/>
            <w:vAlign w:val="center"/>
          </w:tcPr>
          <w:p>
            <w:pPr>
              <w:jc w:val="right"/>
            </w:pPr>
            <w:r>
              <w:rPr>
                <w:rFonts w:ascii="宋体" w:eastAsia="宋体" w:hAnsi="宋体" w:cs="宋体"/>
                <w:b w:val="0"/>
                <w:i w:val="0"/>
                <w:color w:val="000000"/>
                <w:sz w:val="13"/>
              </w:rPr>
              <w:t xml:space="preserve">764.02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764.02</w:t>
            </w:r>
          </w:p>
        </w:tc>
        <w:tc>
          <w:tcPr>
            <w:tcW w:w="960" w:type="dxa"/>
            <w:tcBorders/>
            <w:vAlign w:val="center"/>
          </w:tcPr>
          <w:p>
            <w:pPr>
              <w:jc w:val="right"/>
            </w:pPr>
            <w:r>
              <w:rPr>
                <w:rFonts w:ascii="宋体" w:eastAsia="宋体" w:hAnsi="宋体" w:cs="宋体"/>
                <w:b w:val="0"/>
                <w:i w:val="0"/>
                <w:color w:val="000000"/>
                <w:sz w:val="13"/>
              </w:rPr>
              <w:t xml:space="preserve">764.02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769.60</w:t>
            </w:r>
          </w:p>
        </w:tc>
        <w:tc>
          <w:tcPr>
            <w:tcW w:w="1060" w:type="dxa"/>
            <w:tcBorders/>
            <w:vAlign w:val="center"/>
          </w:tcPr>
          <w:p>
            <w:pPr>
              <w:jc w:val="right"/>
            </w:pPr>
            <w:r>
              <w:rPr>
                <w:rFonts w:ascii="宋体" w:eastAsia="宋体" w:hAnsi="宋体" w:cs="宋体"/>
                <w:b/>
                <w:i w:val="0"/>
                <w:color w:val="000000"/>
                <w:sz w:val="14"/>
              </w:rPr>
              <w:t xml:space="preserve">557.26</w:t>
            </w:r>
          </w:p>
        </w:tc>
        <w:tc>
          <w:tcPr>
            <w:tcW w:w="1060" w:type="dxa"/>
            <w:tcBorders/>
            <w:vAlign w:val="center"/>
          </w:tcPr>
          <w:p>
            <w:pPr>
              <w:jc w:val="right"/>
            </w:pPr>
            <w:r>
              <w:rPr>
                <w:rFonts w:ascii="宋体" w:eastAsia="宋体" w:hAnsi="宋体" w:cs="宋体"/>
                <w:b/>
                <w:i w:val="0"/>
                <w:color w:val="000000"/>
                <w:sz w:val="14"/>
              </w:rPr>
              <w:t xml:space="preserve">212.34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769.60</w:t>
            </w:r>
          </w:p>
        </w:tc>
        <w:tc>
          <w:tcPr>
            <w:tcW w:w="1060" w:type="dxa"/>
            <w:tcBorders/>
            <w:vAlign w:val="center"/>
          </w:tcPr>
          <w:p>
            <w:pPr>
              <w:jc w:val="right"/>
            </w:pPr>
            <w:r>
              <w:rPr>
                <w:rFonts w:ascii="宋体" w:eastAsia="宋体" w:hAnsi="宋体" w:cs="宋体"/>
                <w:b w:val="0"/>
                <w:i w:val="0"/>
                <w:color w:val="000000"/>
                <w:sz w:val="14"/>
              </w:rPr>
              <w:t xml:space="preserve">557.26</w:t>
            </w:r>
          </w:p>
        </w:tc>
        <w:tc>
          <w:tcPr>
            <w:tcW w:w="1060" w:type="dxa"/>
            <w:tcBorders/>
            <w:vAlign w:val="center"/>
          </w:tcPr>
          <w:p>
            <w:pPr>
              <w:jc w:val="right"/>
            </w:pPr>
            <w:r>
              <w:rPr>
                <w:rFonts w:ascii="宋体" w:eastAsia="宋体" w:hAnsi="宋体" w:cs="宋体"/>
                <w:b w:val="0"/>
                <w:i w:val="0"/>
                <w:color w:val="000000"/>
                <w:sz w:val="14"/>
              </w:rPr>
              <w:t xml:space="preserve">212.34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764.60</w:t>
            </w:r>
          </w:p>
        </w:tc>
        <w:tc>
          <w:tcPr>
            <w:tcW w:w="1060" w:type="dxa"/>
            <w:tcBorders/>
            <w:vAlign w:val="center"/>
          </w:tcPr>
          <w:p>
            <w:pPr>
              <w:jc w:val="right"/>
            </w:pPr>
            <w:r>
              <w:rPr>
                <w:rFonts w:ascii="宋体" w:eastAsia="宋体" w:hAnsi="宋体" w:cs="宋体"/>
                <w:b w:val="0"/>
                <w:i w:val="0"/>
                <w:color w:val="000000"/>
                <w:sz w:val="14"/>
              </w:rPr>
              <w:t xml:space="preserve">557.26</w:t>
            </w:r>
          </w:p>
        </w:tc>
        <w:tc>
          <w:tcPr>
            <w:tcW w:w="1060" w:type="dxa"/>
            <w:tcBorders/>
            <w:vAlign w:val="center"/>
          </w:tcPr>
          <w:p>
            <w:pPr>
              <w:jc w:val="right"/>
            </w:pPr>
            <w:r>
              <w:rPr>
                <w:rFonts w:ascii="宋体" w:eastAsia="宋体" w:hAnsi="宋体" w:cs="宋体"/>
                <w:b w:val="0"/>
                <w:i w:val="0"/>
                <w:color w:val="000000"/>
                <w:sz w:val="14"/>
              </w:rPr>
              <w:t xml:space="preserve">207.34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764.02</w:t>
            </w:r>
          </w:p>
        </w:tc>
        <w:tc>
          <w:tcPr>
            <w:tcW w:w="1060" w:type="dxa"/>
            <w:tcBorders/>
            <w:vAlign w:val="center"/>
          </w:tcPr>
          <w:p>
            <w:pPr>
              <w:jc w:val="right"/>
            </w:pPr>
            <w:r>
              <w:rPr>
                <w:rFonts w:ascii="宋体" w:eastAsia="宋体" w:hAnsi="宋体" w:cs="宋体"/>
                <w:b w:val="0"/>
                <w:i w:val="0"/>
                <w:color w:val="000000"/>
                <w:sz w:val="14"/>
              </w:rPr>
              <w:t xml:space="preserve">557.26</w:t>
            </w:r>
          </w:p>
        </w:tc>
        <w:tc>
          <w:tcPr>
            <w:tcW w:w="1060" w:type="dxa"/>
            <w:tcBorders/>
            <w:vAlign w:val="center"/>
          </w:tcPr>
          <w:p>
            <w:pPr>
              <w:jc w:val="right"/>
            </w:pPr>
            <w:r>
              <w:rPr>
                <w:rFonts w:ascii="宋体" w:eastAsia="宋体" w:hAnsi="宋体" w:cs="宋体"/>
                <w:b w:val="0"/>
                <w:i w:val="0"/>
                <w:color w:val="000000"/>
                <w:sz w:val="14"/>
              </w:rPr>
              <w:t xml:space="preserve">206.76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1100" w:type="dxa"/>
            <w:tcBorders/>
            <w:vAlign w:val="center"/>
          </w:tcPr>
          <w:p>
            <w:pPr>
              <w:jc w:val="right"/>
            </w:pPr>
            <w:r>
              <w:rPr>
                <w:rFonts w:ascii="宋体" w:eastAsia="宋体" w:hAnsi="宋体" w:cs="宋体"/>
                <w:b w:val="0"/>
                <w:i w:val="0"/>
                <w:color w:val="000000"/>
                <w:sz w:val="14"/>
              </w:rPr>
              <w:t xml:space="preserve">769.02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769.02</w:t>
            </w:r>
          </w:p>
        </w:tc>
        <w:tc>
          <w:tcPr>
            <w:tcW w:w="1780" w:type="dxa"/>
            <w:tcBorders/>
            <w:vAlign w:val="center"/>
          </w:tcPr>
          <w:p>
            <w:pPr>
              <w:jc w:val="right"/>
            </w:pPr>
            <w:r>
              <w:rPr>
                <w:rFonts w:ascii="宋体" w:eastAsia="宋体" w:hAnsi="宋体" w:cs="宋体"/>
                <w:b/>
                <w:i w:val="0"/>
                <w:color w:val="000000"/>
                <w:sz w:val="18"/>
              </w:rPr>
              <w:t xml:space="preserve">557.26</w:t>
            </w:r>
          </w:p>
        </w:tc>
        <w:tc>
          <w:tcPr>
            <w:tcW w:w="1772" w:type="dxa"/>
            <w:tcBorders/>
            <w:vAlign w:val="center"/>
          </w:tcPr>
          <w:p>
            <w:pPr>
              <w:jc w:val="right"/>
            </w:pPr>
            <w:r>
              <w:rPr>
                <w:rFonts w:ascii="宋体" w:eastAsia="宋体" w:hAnsi="宋体" w:cs="宋体"/>
                <w:b/>
                <w:i w:val="0"/>
                <w:color w:val="000000"/>
                <w:sz w:val="18"/>
              </w:rPr>
              <w:t xml:space="preserve">211.76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769.02</w:t>
            </w:r>
          </w:p>
        </w:tc>
        <w:tc>
          <w:tcPr>
            <w:tcW w:w="1780" w:type="dxa"/>
            <w:tcBorders/>
            <w:vAlign w:val="center"/>
          </w:tcPr>
          <w:p>
            <w:pPr>
              <w:jc w:val="right"/>
            </w:pPr>
            <w:r>
              <w:rPr>
                <w:rFonts w:ascii="宋体" w:eastAsia="宋体" w:hAnsi="宋体" w:cs="宋体"/>
                <w:b w:val="0"/>
                <w:i w:val="0"/>
                <w:color w:val="000000"/>
                <w:sz w:val="18"/>
              </w:rPr>
              <w:t xml:space="preserve">557.26</w:t>
            </w:r>
          </w:p>
        </w:tc>
        <w:tc>
          <w:tcPr>
            <w:tcW w:w="1772" w:type="dxa"/>
            <w:tcBorders/>
            <w:vAlign w:val="center"/>
          </w:tcPr>
          <w:p>
            <w:pPr>
              <w:jc w:val="right"/>
            </w:pPr>
            <w:r>
              <w:rPr>
                <w:rFonts w:ascii="宋体" w:eastAsia="宋体" w:hAnsi="宋体" w:cs="宋体"/>
                <w:b w:val="0"/>
                <w:i w:val="0"/>
                <w:color w:val="000000"/>
                <w:sz w:val="18"/>
              </w:rPr>
              <w:t xml:space="preserve">211.76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764.02</w:t>
            </w:r>
          </w:p>
        </w:tc>
        <w:tc>
          <w:tcPr>
            <w:tcW w:w="1780" w:type="dxa"/>
            <w:tcBorders/>
            <w:vAlign w:val="center"/>
          </w:tcPr>
          <w:p>
            <w:pPr>
              <w:jc w:val="right"/>
            </w:pPr>
            <w:r>
              <w:rPr>
                <w:rFonts w:ascii="宋体" w:eastAsia="宋体" w:hAnsi="宋体" w:cs="宋体"/>
                <w:b w:val="0"/>
                <w:i w:val="0"/>
                <w:color w:val="000000"/>
                <w:sz w:val="18"/>
              </w:rPr>
              <w:t xml:space="preserve">557.26</w:t>
            </w:r>
          </w:p>
        </w:tc>
        <w:tc>
          <w:tcPr>
            <w:tcW w:w="1772" w:type="dxa"/>
            <w:tcBorders/>
            <w:vAlign w:val="center"/>
          </w:tcPr>
          <w:p>
            <w:pPr>
              <w:jc w:val="right"/>
            </w:pPr>
            <w:r>
              <w:rPr>
                <w:rFonts w:ascii="宋体" w:eastAsia="宋体" w:hAnsi="宋体" w:cs="宋体"/>
                <w:b w:val="0"/>
                <w:i w:val="0"/>
                <w:color w:val="000000"/>
                <w:sz w:val="18"/>
              </w:rPr>
              <w:t xml:space="preserve">206.76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764.02</w:t>
            </w:r>
          </w:p>
        </w:tc>
        <w:tc>
          <w:tcPr>
            <w:tcW w:w="1780" w:type="dxa"/>
            <w:tcBorders/>
            <w:vAlign w:val="center"/>
          </w:tcPr>
          <w:p>
            <w:pPr>
              <w:jc w:val="right"/>
            </w:pPr>
            <w:r>
              <w:rPr>
                <w:rFonts w:ascii="宋体" w:eastAsia="宋体" w:hAnsi="宋体" w:cs="宋体"/>
                <w:b w:val="0"/>
                <w:i w:val="0"/>
                <w:color w:val="000000"/>
                <w:sz w:val="18"/>
              </w:rPr>
              <w:t xml:space="preserve">557.26</w:t>
            </w:r>
          </w:p>
        </w:tc>
        <w:tc>
          <w:tcPr>
            <w:tcW w:w="1772" w:type="dxa"/>
            <w:tcBorders/>
            <w:vAlign w:val="center"/>
          </w:tcPr>
          <w:p>
            <w:pPr>
              <w:jc w:val="right"/>
            </w:pPr>
            <w:r>
              <w:rPr>
                <w:rFonts w:ascii="宋体" w:eastAsia="宋体" w:hAnsi="宋体" w:cs="宋体"/>
                <w:b w:val="0"/>
                <w:i w:val="0"/>
                <w:color w:val="000000"/>
                <w:sz w:val="18"/>
              </w:rPr>
              <w:t xml:space="preserve">206.76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548.07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9.20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200.26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68.92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14.22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7.73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142.67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1.20</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73.21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0.00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37.86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1.31</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3.20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1.01</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5.48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548.07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9.20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单位：辽宁省沈阳市第一二六中学浑南分校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023049沈阳市第一二六中学浑南分校-210112000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676.59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676.59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528.11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保障人员类办公经费类项目按时完成</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保障人员类办公经费类项目按时完成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教育培训参加人数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在校生群体教学质量满意度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人事制度改革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优化调整</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合作办学数量</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沈阳市第一二六中学浑南分校-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沈阳市第一二六中学浑南分校-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教育管理专项业务费-2024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沈阳市第一二六中学浑南分校-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市级专项资金，三健康专项、民族教育专项、传统体育特色校扶持经费等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市级专项资金，三健康专项、民族教育专项、传统体育特色校扶持经费等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沈阳市第一二六中学浑南分校-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沈阳市第一二六中学浑南分校-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