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辽宁省沈阳市浑南高级中学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辽宁省沈阳市浑南高级中学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辽宁省沈阳市浑南高级中学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辽宁省沈阳市浑南高级中学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辽宁省沈阳市浑南高级中学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辽宁省沈阳市浑南高级中学概况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辽宁省沈阳市浑南高级中学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本单位是纳入浑南区教育局2023年度部门决算编制范围的二级预算单位，本单位无下设机构。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1956.59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1766.56</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90.29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1766.56</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134.06</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6.85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主要是财政专户拨入物业费等收入。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20.05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1.02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主要是绩效工资等收入。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35.92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1.84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主要是以前年度事业基金等。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增加201.55万元，增长11.48%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学校规模扩大，一是招聘了大批老师，人员经费增加。二是学生增多，生均经费增加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1902.29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1575.96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82.85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工资福利支出1432.04万元；商品和服务支出99.24万元；对个人和家庭的补助34.40万元；资本性支出10.29万元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326.33</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17.15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主要包括教师绩效、学生资助等业务支出。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增加183.18万元，增长10.66%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学校规模扩大，一是招聘了大批老师，人员经费增加。二是学生增多，生均经费增加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54.29</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主要是以前年度事业基金形成的结余等原因形成的结余。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增加18.37万元，增长51.14%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非财政拨款增加</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1766.56</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1575.96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190.59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增加155.95万元，增长9.68%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学校规模扩大，一是招聘了大批老师，人员经费增加。二是学生增多，生均经费增加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86.73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81.69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177.08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2024年度一般公共预算财政拨款支出1766.56万元。按支出功能分类科目分，包括：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1.教育支出1743.86万元，具体包括：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（1）教育支出（类）普通教育（款）高中教育（项）1697.37万元,主要是工资福利等支出，完成年初预算的107.41%，决算数与年初预算数存在差异的主要原因是学校规模扩大，一是招聘了大批老师，人员经费增加。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43.76万元,主要是商品和服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其他教育支出（款）其他教育支出（项）2.73万元,主要是2024年学生资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2.社会保障和就业支出22.69万元，具体包括：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10.64万元,主要是退休教师丧葬费等支出，完成年初预算的100%，决算数与年初预算数存在差异的主要原因是根据实际发生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12.05万元,主要是机关事业单位职业年金缴费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1575.97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1466.44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109.53</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，其他用车主要是保障师生外出用车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具体而言，本年度我部门共组织对5个项目实施了绩效评价。从预算资金来源看，涉及一般公共预算的项目5个，涉及政府性基金预算的项目0个，涉及国有资本经营预算的项目0个。</w:t>
        <w:br/>
        <w:t xml:space="preserve">    上述评价工作共涉及财政资金1754.28万元。其中，一般公共预算资金1754.28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0个；得分在60分（含）至80分、等级为“中”的项目有0；得分在60分以下、等级为“差”的项目有0个。各项目自评发现，部分项目存在1个问题，如：预算执行进度偏慢，已要求相关项目单位分析原因并制定改进措施。</w:t>
        <w:br/>
        <w:t xml:space="preserve">    3.部门重点评价情况及结果。</w:t>
        <w:br/>
        <w:t xml:space="preserve">    我部门未产生资金量大，社会关注高的民生领域项目，因此暂未做重点项目绩效评价。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16.支出（类）普通教育（款）高中教育（项）：反映各部门举办的高中教育支出。政府各部门对社会组织等举办的普通高中的资助，如捐赠、补贴等。</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单位：辽宁省沈阳市浑南高级中学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1,766.56</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134.06</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1,879.60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20.05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22.69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1,920.67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1,902.29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35.92</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54.29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1,956.59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1,956.59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单位：辽宁省沈阳市浑南高级中学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1,920.67</w:t>
            </w:r>
          </w:p>
        </w:tc>
        <w:tc>
          <w:tcPr>
            <w:tcW w:w="960" w:type="dxa"/>
            <w:tcBorders/>
            <w:vAlign w:val="center"/>
          </w:tcPr>
          <w:p>
            <w:pPr>
              <w:jc w:val="right"/>
            </w:pPr>
            <w:r>
              <w:rPr>
                <w:rFonts w:ascii="宋体" w:eastAsia="宋体" w:hAnsi="宋体" w:cs="宋体"/>
                <w:b/>
                <w:i w:val="0"/>
                <w:color w:val="000000"/>
                <w:sz w:val="13"/>
              </w:rPr>
              <w:t xml:space="preserve">1,766.56</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134.06</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20.05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1,897.96</w:t>
            </w:r>
          </w:p>
        </w:tc>
        <w:tc>
          <w:tcPr>
            <w:tcW w:w="960" w:type="dxa"/>
            <w:tcBorders/>
            <w:vAlign w:val="center"/>
          </w:tcPr>
          <w:p>
            <w:pPr>
              <w:jc w:val="right"/>
            </w:pPr>
            <w:r>
              <w:rPr>
                <w:rFonts w:ascii="宋体" w:eastAsia="宋体" w:hAnsi="宋体" w:cs="宋体"/>
                <w:b w:val="0"/>
                <w:i w:val="0"/>
                <w:color w:val="000000"/>
                <w:sz w:val="13"/>
              </w:rPr>
              <w:t xml:space="preserve">1,743.86</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134.06</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20.05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1,851.47</w:t>
            </w:r>
          </w:p>
        </w:tc>
        <w:tc>
          <w:tcPr>
            <w:tcW w:w="960" w:type="dxa"/>
            <w:tcBorders/>
            <w:vAlign w:val="center"/>
          </w:tcPr>
          <w:p>
            <w:pPr>
              <w:jc w:val="right"/>
            </w:pPr>
            <w:r>
              <w:rPr>
                <w:rFonts w:ascii="宋体" w:eastAsia="宋体" w:hAnsi="宋体" w:cs="宋体"/>
                <w:b w:val="0"/>
                <w:i w:val="0"/>
                <w:color w:val="000000"/>
                <w:sz w:val="13"/>
              </w:rPr>
              <w:t xml:space="preserve">1,697.37</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134.06</w:t>
            </w: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20.05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2050204</w:t>
            </w:r>
          </w:p>
        </w:tc>
        <w:tc>
          <w:tcPr>
            <w:tcW w:w="3200" w:type="dxa"/>
            <w:tcBorders/>
            <w:vAlign w:val="center"/>
          </w:tcPr>
          <w:p>
            <w:pPr>
              <w:jc w:val="left"/>
            </w:pPr>
            <w:r>
              <w:rPr>
                <w:rFonts w:ascii="宋体" w:eastAsia="宋体" w:hAnsi="宋体" w:cs="宋体"/>
                <w:b w:val="0"/>
                <w:i w:val="0"/>
                <w:color w:val="000000"/>
                <w:sz w:val="13"/>
              </w:rPr>
              <w:t xml:space="preserve">高中教育</w:t>
            </w:r>
          </w:p>
        </w:tc>
        <w:tc>
          <w:tcPr>
            <w:tcW w:w="960" w:type="dxa"/>
            <w:tcBorders/>
            <w:vAlign w:val="center"/>
          </w:tcPr>
          <w:p>
            <w:pPr>
              <w:jc w:val="right"/>
            </w:pPr>
            <w:r>
              <w:rPr>
                <w:rFonts w:ascii="宋体" w:eastAsia="宋体" w:hAnsi="宋体" w:cs="宋体"/>
                <w:b w:val="0"/>
                <w:i w:val="0"/>
                <w:color w:val="000000"/>
                <w:sz w:val="13"/>
              </w:rPr>
              <w:t xml:space="preserve">1,831.42</w:t>
            </w:r>
          </w:p>
        </w:tc>
        <w:tc>
          <w:tcPr>
            <w:tcW w:w="960" w:type="dxa"/>
            <w:tcBorders/>
            <w:vAlign w:val="center"/>
          </w:tcPr>
          <w:p>
            <w:pPr>
              <w:jc w:val="right"/>
            </w:pPr>
            <w:r>
              <w:rPr>
                <w:rFonts w:ascii="宋体" w:eastAsia="宋体" w:hAnsi="宋体" w:cs="宋体"/>
                <w:b w:val="0"/>
                <w:i w:val="0"/>
                <w:color w:val="000000"/>
                <w:sz w:val="13"/>
              </w:rPr>
              <w:t xml:space="preserve">1,697.37</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134.06</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20.05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20.05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43.76</w:t>
            </w:r>
          </w:p>
        </w:tc>
        <w:tc>
          <w:tcPr>
            <w:tcW w:w="960" w:type="dxa"/>
            <w:tcBorders/>
            <w:vAlign w:val="center"/>
          </w:tcPr>
          <w:p>
            <w:pPr>
              <w:jc w:val="right"/>
            </w:pPr>
            <w:r>
              <w:rPr>
                <w:rFonts w:ascii="宋体" w:eastAsia="宋体" w:hAnsi="宋体" w:cs="宋体"/>
                <w:b w:val="0"/>
                <w:i w:val="0"/>
                <w:color w:val="000000"/>
                <w:sz w:val="13"/>
              </w:rPr>
              <w:t xml:space="preserve">43.76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43.76</w:t>
            </w:r>
          </w:p>
        </w:tc>
        <w:tc>
          <w:tcPr>
            <w:tcW w:w="960" w:type="dxa"/>
            <w:tcBorders/>
            <w:vAlign w:val="center"/>
          </w:tcPr>
          <w:p>
            <w:pPr>
              <w:jc w:val="right"/>
            </w:pPr>
            <w:r>
              <w:rPr>
                <w:rFonts w:ascii="宋体" w:eastAsia="宋体" w:hAnsi="宋体" w:cs="宋体"/>
                <w:b w:val="0"/>
                <w:i w:val="0"/>
                <w:color w:val="000000"/>
                <w:sz w:val="13"/>
              </w:rPr>
              <w:t xml:space="preserve">43.76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20599</w:t>
            </w:r>
          </w:p>
        </w:tc>
        <w:tc>
          <w:tcPr>
            <w:tcW w:w="3200" w:type="dxa"/>
            <w:tcBorders/>
            <w:vAlign w:val="center"/>
          </w:tcPr>
          <w:p>
            <w:pPr>
              <w:jc w:val="left"/>
            </w:pPr>
            <w:r>
              <w:rPr>
                <w:rFonts w:ascii="宋体" w:eastAsia="宋体" w:hAnsi="宋体" w:cs="宋体"/>
                <w:b w:val="0"/>
                <w:i w:val="0"/>
                <w:color w:val="000000"/>
                <w:sz w:val="13"/>
              </w:rPr>
              <w:t xml:space="preserve">其他教育支出</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2059999</w:t>
            </w:r>
          </w:p>
        </w:tc>
        <w:tc>
          <w:tcPr>
            <w:tcW w:w="3200" w:type="dxa"/>
            <w:tcBorders/>
            <w:vAlign w:val="center"/>
          </w:tcPr>
          <w:p>
            <w:pPr>
              <w:jc w:val="left"/>
            </w:pPr>
            <w:r>
              <w:rPr>
                <w:rFonts w:ascii="宋体" w:eastAsia="宋体" w:hAnsi="宋体" w:cs="宋体"/>
                <w:b w:val="0"/>
                <w:i w:val="0"/>
                <w:color w:val="000000"/>
                <w:sz w:val="13"/>
              </w:rPr>
              <w:t xml:space="preserve">其他教育支出</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22.69</w:t>
            </w:r>
          </w:p>
        </w:tc>
        <w:tc>
          <w:tcPr>
            <w:tcW w:w="960" w:type="dxa"/>
            <w:tcBorders/>
            <w:vAlign w:val="center"/>
          </w:tcPr>
          <w:p>
            <w:pPr>
              <w:jc w:val="right"/>
            </w:pPr>
            <w:r>
              <w:rPr>
                <w:rFonts w:ascii="宋体" w:eastAsia="宋体" w:hAnsi="宋体" w:cs="宋体"/>
                <w:b w:val="0"/>
                <w:i w:val="0"/>
                <w:color w:val="000000"/>
                <w:sz w:val="13"/>
              </w:rPr>
              <w:t xml:space="preserve">22.69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22.69</w:t>
            </w:r>
          </w:p>
        </w:tc>
        <w:tc>
          <w:tcPr>
            <w:tcW w:w="960" w:type="dxa"/>
            <w:tcBorders/>
            <w:vAlign w:val="center"/>
          </w:tcPr>
          <w:p>
            <w:pPr>
              <w:jc w:val="right"/>
            </w:pPr>
            <w:r>
              <w:rPr>
                <w:rFonts w:ascii="宋体" w:eastAsia="宋体" w:hAnsi="宋体" w:cs="宋体"/>
                <w:b w:val="0"/>
                <w:i w:val="0"/>
                <w:color w:val="000000"/>
                <w:sz w:val="13"/>
              </w:rPr>
              <w:t xml:space="preserve">22.69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10.64</w:t>
            </w:r>
          </w:p>
        </w:tc>
        <w:tc>
          <w:tcPr>
            <w:tcW w:w="960" w:type="dxa"/>
            <w:tcBorders/>
            <w:vAlign w:val="center"/>
          </w:tcPr>
          <w:p>
            <w:pPr>
              <w:jc w:val="right"/>
            </w:pPr>
            <w:r>
              <w:rPr>
                <w:rFonts w:ascii="宋体" w:eastAsia="宋体" w:hAnsi="宋体" w:cs="宋体"/>
                <w:b w:val="0"/>
                <w:i w:val="0"/>
                <w:color w:val="000000"/>
                <w:sz w:val="13"/>
              </w:rPr>
              <w:t xml:space="preserve">10.64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12.05</w:t>
            </w:r>
          </w:p>
        </w:tc>
        <w:tc>
          <w:tcPr>
            <w:tcW w:w="960" w:type="dxa"/>
            <w:tcBorders/>
            <w:vAlign w:val="center"/>
          </w:tcPr>
          <w:p>
            <w:pPr>
              <w:jc w:val="right"/>
            </w:pPr>
            <w:r>
              <w:rPr>
                <w:rFonts w:ascii="宋体" w:eastAsia="宋体" w:hAnsi="宋体" w:cs="宋体"/>
                <w:b w:val="0"/>
                <w:i w:val="0"/>
                <w:color w:val="000000"/>
                <w:sz w:val="13"/>
              </w:rPr>
              <w:t xml:space="preserve">12.05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单位：辽宁省沈阳市浑南高级中学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1,902.29</w:t>
            </w:r>
          </w:p>
        </w:tc>
        <w:tc>
          <w:tcPr>
            <w:tcW w:w="1060" w:type="dxa"/>
            <w:tcBorders/>
            <w:vAlign w:val="center"/>
          </w:tcPr>
          <w:p>
            <w:pPr>
              <w:jc w:val="right"/>
            </w:pPr>
            <w:r>
              <w:rPr>
                <w:rFonts w:ascii="宋体" w:eastAsia="宋体" w:hAnsi="宋体" w:cs="宋体"/>
                <w:b/>
                <w:i w:val="0"/>
                <w:color w:val="000000"/>
                <w:sz w:val="14"/>
              </w:rPr>
              <w:t xml:space="preserve">1,575.96</w:t>
            </w:r>
          </w:p>
        </w:tc>
        <w:tc>
          <w:tcPr>
            <w:tcW w:w="1060" w:type="dxa"/>
            <w:tcBorders/>
            <w:vAlign w:val="center"/>
          </w:tcPr>
          <w:p>
            <w:pPr>
              <w:jc w:val="right"/>
            </w:pPr>
            <w:r>
              <w:rPr>
                <w:rFonts w:ascii="宋体" w:eastAsia="宋体" w:hAnsi="宋体" w:cs="宋体"/>
                <w:b/>
                <w:i w:val="0"/>
                <w:color w:val="000000"/>
                <w:sz w:val="14"/>
              </w:rPr>
              <w:t xml:space="preserve">326.33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1,879.59</w:t>
            </w:r>
          </w:p>
        </w:tc>
        <w:tc>
          <w:tcPr>
            <w:tcW w:w="1060" w:type="dxa"/>
            <w:tcBorders/>
            <w:vAlign w:val="center"/>
          </w:tcPr>
          <w:p>
            <w:pPr>
              <w:jc w:val="right"/>
            </w:pPr>
            <w:r>
              <w:rPr>
                <w:rFonts w:ascii="宋体" w:eastAsia="宋体" w:hAnsi="宋体" w:cs="宋体"/>
                <w:b w:val="0"/>
                <w:i w:val="0"/>
                <w:color w:val="000000"/>
                <w:sz w:val="14"/>
              </w:rPr>
              <w:t xml:space="preserve">1,553.27</w:t>
            </w:r>
          </w:p>
        </w:tc>
        <w:tc>
          <w:tcPr>
            <w:tcW w:w="1060" w:type="dxa"/>
            <w:tcBorders/>
            <w:vAlign w:val="center"/>
          </w:tcPr>
          <w:p>
            <w:pPr>
              <w:jc w:val="right"/>
            </w:pPr>
            <w:r>
              <w:rPr>
                <w:rFonts w:ascii="宋体" w:eastAsia="宋体" w:hAnsi="宋体" w:cs="宋体"/>
                <w:b w:val="0"/>
                <w:i w:val="0"/>
                <w:color w:val="000000"/>
                <w:sz w:val="14"/>
              </w:rPr>
              <w:t xml:space="preserve">326.33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1,833.10</w:t>
            </w:r>
          </w:p>
        </w:tc>
        <w:tc>
          <w:tcPr>
            <w:tcW w:w="1060" w:type="dxa"/>
            <w:tcBorders/>
            <w:vAlign w:val="center"/>
          </w:tcPr>
          <w:p>
            <w:pPr>
              <w:jc w:val="right"/>
            </w:pPr>
            <w:r>
              <w:rPr>
                <w:rFonts w:ascii="宋体" w:eastAsia="宋体" w:hAnsi="宋体" w:cs="宋体"/>
                <w:b w:val="0"/>
                <w:i w:val="0"/>
                <w:color w:val="000000"/>
                <w:sz w:val="14"/>
              </w:rPr>
              <w:t xml:space="preserve">1,553.27</w:t>
            </w:r>
          </w:p>
        </w:tc>
        <w:tc>
          <w:tcPr>
            <w:tcW w:w="1060" w:type="dxa"/>
            <w:tcBorders/>
            <w:vAlign w:val="center"/>
          </w:tcPr>
          <w:p>
            <w:pPr>
              <w:jc w:val="right"/>
            </w:pPr>
            <w:r>
              <w:rPr>
                <w:rFonts w:ascii="宋体" w:eastAsia="宋体" w:hAnsi="宋体" w:cs="宋体"/>
                <w:b w:val="0"/>
                <w:i w:val="0"/>
                <w:color w:val="000000"/>
                <w:sz w:val="14"/>
              </w:rPr>
              <w:t xml:space="preserve">279.84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2050204</w:t>
            </w:r>
          </w:p>
        </w:tc>
        <w:tc>
          <w:tcPr>
            <w:tcW w:w="3440" w:type="dxa"/>
            <w:tcBorders/>
            <w:vAlign w:val="center"/>
          </w:tcPr>
          <w:p>
            <w:pPr>
              <w:jc w:val="left"/>
            </w:pPr>
            <w:r>
              <w:rPr>
                <w:rFonts w:ascii="宋体" w:eastAsia="宋体" w:hAnsi="宋体" w:cs="宋体"/>
                <w:b w:val="0"/>
                <w:i w:val="0"/>
                <w:color w:val="000000"/>
                <w:sz w:val="14"/>
              </w:rPr>
              <w:t xml:space="preserve">高中教育</w:t>
            </w:r>
          </w:p>
        </w:tc>
        <w:tc>
          <w:tcPr>
            <w:tcW w:w="1060" w:type="dxa"/>
            <w:tcBorders/>
            <w:vAlign w:val="center"/>
          </w:tcPr>
          <w:p>
            <w:pPr>
              <w:jc w:val="right"/>
            </w:pPr>
            <w:r>
              <w:rPr>
                <w:rFonts w:ascii="宋体" w:eastAsia="宋体" w:hAnsi="宋体" w:cs="宋体"/>
                <w:b w:val="0"/>
                <w:i w:val="0"/>
                <w:color w:val="000000"/>
                <w:sz w:val="14"/>
              </w:rPr>
              <w:t xml:space="preserve">1,831.42</w:t>
            </w:r>
          </w:p>
        </w:tc>
        <w:tc>
          <w:tcPr>
            <w:tcW w:w="1060" w:type="dxa"/>
            <w:tcBorders/>
            <w:vAlign w:val="center"/>
          </w:tcPr>
          <w:p>
            <w:pPr>
              <w:jc w:val="right"/>
            </w:pPr>
            <w:r>
              <w:rPr>
                <w:rFonts w:ascii="宋体" w:eastAsia="宋体" w:hAnsi="宋体" w:cs="宋体"/>
                <w:b w:val="0"/>
                <w:i w:val="0"/>
                <w:color w:val="000000"/>
                <w:sz w:val="14"/>
              </w:rPr>
              <w:t xml:space="preserve">1,553.27</w:t>
            </w:r>
          </w:p>
        </w:tc>
        <w:tc>
          <w:tcPr>
            <w:tcW w:w="1060" w:type="dxa"/>
            <w:tcBorders/>
            <w:vAlign w:val="center"/>
          </w:tcPr>
          <w:p>
            <w:pPr>
              <w:jc w:val="right"/>
            </w:pPr>
            <w:r>
              <w:rPr>
                <w:rFonts w:ascii="宋体" w:eastAsia="宋体" w:hAnsi="宋体" w:cs="宋体"/>
                <w:b w:val="0"/>
                <w:i w:val="0"/>
                <w:color w:val="000000"/>
                <w:sz w:val="14"/>
              </w:rPr>
              <w:t xml:space="preserve">278.16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1.68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43.76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43.76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43.76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20599</w:t>
            </w:r>
          </w:p>
        </w:tc>
        <w:tc>
          <w:tcPr>
            <w:tcW w:w="3440" w:type="dxa"/>
            <w:tcBorders/>
            <w:vAlign w:val="center"/>
          </w:tcPr>
          <w:p>
            <w:pPr>
              <w:jc w:val="left"/>
            </w:pPr>
            <w:r>
              <w:rPr>
                <w:rFonts w:ascii="宋体" w:eastAsia="宋体" w:hAnsi="宋体" w:cs="宋体"/>
                <w:b w:val="0"/>
                <w:i w:val="0"/>
                <w:color w:val="000000"/>
                <w:sz w:val="14"/>
              </w:rPr>
              <w:t xml:space="preserve">其他教育支出</w:t>
            </w: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2059999</w:t>
            </w:r>
          </w:p>
        </w:tc>
        <w:tc>
          <w:tcPr>
            <w:tcW w:w="3440" w:type="dxa"/>
            <w:tcBorders/>
            <w:vAlign w:val="center"/>
          </w:tcPr>
          <w:p>
            <w:pPr>
              <w:jc w:val="left"/>
            </w:pPr>
            <w:r>
              <w:rPr>
                <w:rFonts w:ascii="宋体" w:eastAsia="宋体" w:hAnsi="宋体" w:cs="宋体"/>
                <w:b w:val="0"/>
                <w:i w:val="0"/>
                <w:color w:val="000000"/>
                <w:sz w:val="14"/>
              </w:rPr>
              <w:t xml:space="preserve">其他教育支出</w:t>
            </w: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22.69</w:t>
            </w:r>
          </w:p>
        </w:tc>
        <w:tc>
          <w:tcPr>
            <w:tcW w:w="1060" w:type="dxa"/>
            <w:tcBorders/>
            <w:vAlign w:val="center"/>
          </w:tcPr>
          <w:p>
            <w:pPr>
              <w:jc w:val="right"/>
            </w:pPr>
            <w:r>
              <w:rPr>
                <w:rFonts w:ascii="宋体" w:eastAsia="宋体" w:hAnsi="宋体" w:cs="宋体"/>
                <w:b w:val="0"/>
                <w:i w:val="0"/>
                <w:color w:val="000000"/>
                <w:sz w:val="14"/>
              </w:rPr>
              <w:t xml:space="preserve">22.69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22.69</w:t>
            </w:r>
          </w:p>
        </w:tc>
        <w:tc>
          <w:tcPr>
            <w:tcW w:w="1060" w:type="dxa"/>
            <w:tcBorders/>
            <w:vAlign w:val="center"/>
          </w:tcPr>
          <w:p>
            <w:pPr>
              <w:jc w:val="right"/>
            </w:pPr>
            <w:r>
              <w:rPr>
                <w:rFonts w:ascii="宋体" w:eastAsia="宋体" w:hAnsi="宋体" w:cs="宋体"/>
                <w:b w:val="0"/>
                <w:i w:val="0"/>
                <w:color w:val="000000"/>
                <w:sz w:val="14"/>
              </w:rPr>
              <w:t xml:space="preserve">22.69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10.64</w:t>
            </w:r>
          </w:p>
        </w:tc>
        <w:tc>
          <w:tcPr>
            <w:tcW w:w="1060" w:type="dxa"/>
            <w:tcBorders/>
            <w:vAlign w:val="center"/>
          </w:tcPr>
          <w:p>
            <w:pPr>
              <w:jc w:val="right"/>
            </w:pPr>
            <w:r>
              <w:rPr>
                <w:rFonts w:ascii="宋体" w:eastAsia="宋体" w:hAnsi="宋体" w:cs="宋体"/>
                <w:b w:val="0"/>
                <w:i w:val="0"/>
                <w:color w:val="000000"/>
                <w:sz w:val="14"/>
              </w:rPr>
              <w:t xml:space="preserve">10.64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12.05</w:t>
            </w:r>
          </w:p>
        </w:tc>
        <w:tc>
          <w:tcPr>
            <w:tcW w:w="1060" w:type="dxa"/>
            <w:tcBorders/>
            <w:vAlign w:val="center"/>
          </w:tcPr>
          <w:p>
            <w:pPr>
              <w:jc w:val="right"/>
            </w:pPr>
            <w:r>
              <w:rPr>
                <w:rFonts w:ascii="宋体" w:eastAsia="宋体" w:hAnsi="宋体" w:cs="宋体"/>
                <w:b w:val="0"/>
                <w:i w:val="0"/>
                <w:color w:val="000000"/>
                <w:sz w:val="14"/>
              </w:rPr>
              <w:t xml:space="preserve">12.05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单位：辽宁省沈阳市浑南高级中学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1,766.56</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1,743.86</w:t>
            </w:r>
          </w:p>
        </w:tc>
        <w:tc>
          <w:tcPr>
            <w:tcW w:w="1100" w:type="dxa"/>
            <w:tcBorders/>
            <w:vAlign w:val="center"/>
          </w:tcPr>
          <w:p>
            <w:pPr>
              <w:jc w:val="right"/>
            </w:pPr>
            <w:r>
              <w:rPr>
                <w:rFonts w:ascii="宋体" w:eastAsia="宋体" w:hAnsi="宋体" w:cs="宋体"/>
                <w:b w:val="0"/>
                <w:i w:val="0"/>
                <w:color w:val="000000"/>
                <w:sz w:val="14"/>
              </w:rPr>
              <w:t xml:space="preserve">1,743.86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22.69</w:t>
            </w:r>
          </w:p>
        </w:tc>
        <w:tc>
          <w:tcPr>
            <w:tcW w:w="1100" w:type="dxa"/>
            <w:tcBorders/>
            <w:vAlign w:val="center"/>
          </w:tcPr>
          <w:p>
            <w:pPr>
              <w:jc w:val="right"/>
            </w:pPr>
            <w:r>
              <w:rPr>
                <w:rFonts w:ascii="宋体" w:eastAsia="宋体" w:hAnsi="宋体" w:cs="宋体"/>
                <w:b w:val="0"/>
                <w:i w:val="0"/>
                <w:color w:val="000000"/>
                <w:sz w:val="14"/>
              </w:rPr>
              <w:t xml:space="preserve">22.69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1,766.56</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1,766.56</w:t>
            </w:r>
          </w:p>
        </w:tc>
        <w:tc>
          <w:tcPr>
            <w:tcW w:w="1100" w:type="dxa"/>
            <w:tcBorders/>
            <w:vAlign w:val="center"/>
          </w:tcPr>
          <w:p>
            <w:pPr>
              <w:jc w:val="right"/>
            </w:pPr>
            <w:r>
              <w:rPr>
                <w:rFonts w:ascii="宋体" w:eastAsia="宋体" w:hAnsi="宋体" w:cs="宋体"/>
                <w:b w:val="0"/>
                <w:i w:val="0"/>
                <w:color w:val="000000"/>
                <w:sz w:val="14"/>
              </w:rPr>
              <w:t xml:space="preserve">1,766.56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1,766.56</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1,766.56</w:t>
            </w:r>
          </w:p>
        </w:tc>
        <w:tc>
          <w:tcPr>
            <w:tcW w:w="1100" w:type="dxa"/>
            <w:tcBorders/>
            <w:vAlign w:val="center"/>
          </w:tcPr>
          <w:p>
            <w:pPr>
              <w:jc w:val="right"/>
            </w:pPr>
            <w:r>
              <w:rPr>
                <w:rFonts w:ascii="宋体" w:eastAsia="宋体" w:hAnsi="宋体" w:cs="宋体"/>
                <w:b w:val="0"/>
                <w:i w:val="0"/>
                <w:color w:val="000000"/>
                <w:sz w:val="14"/>
              </w:rPr>
              <w:t xml:space="preserve">1,766.56</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单位：辽宁省沈阳市浑南高级中学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1,766.56</w:t>
            </w:r>
          </w:p>
        </w:tc>
        <w:tc>
          <w:tcPr>
            <w:tcW w:w="1780" w:type="dxa"/>
            <w:tcBorders/>
            <w:vAlign w:val="center"/>
          </w:tcPr>
          <w:p>
            <w:pPr>
              <w:jc w:val="right"/>
            </w:pPr>
            <w:r>
              <w:rPr>
                <w:rFonts w:ascii="宋体" w:eastAsia="宋体" w:hAnsi="宋体" w:cs="宋体"/>
                <w:b/>
                <w:i w:val="0"/>
                <w:color w:val="000000"/>
                <w:sz w:val="18"/>
              </w:rPr>
              <w:t xml:space="preserve">1,575.96</w:t>
            </w:r>
          </w:p>
        </w:tc>
        <w:tc>
          <w:tcPr>
            <w:tcW w:w="1772" w:type="dxa"/>
            <w:tcBorders/>
            <w:vAlign w:val="center"/>
          </w:tcPr>
          <w:p>
            <w:pPr>
              <w:jc w:val="right"/>
            </w:pPr>
            <w:r>
              <w:rPr>
                <w:rFonts w:ascii="宋体" w:eastAsia="宋体" w:hAnsi="宋体" w:cs="宋体"/>
                <w:b/>
                <w:i w:val="0"/>
                <w:color w:val="000000"/>
                <w:sz w:val="18"/>
              </w:rPr>
              <w:t xml:space="preserve">190.59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1,743.86</w:t>
            </w:r>
          </w:p>
        </w:tc>
        <w:tc>
          <w:tcPr>
            <w:tcW w:w="1780" w:type="dxa"/>
            <w:tcBorders/>
            <w:vAlign w:val="center"/>
          </w:tcPr>
          <w:p>
            <w:pPr>
              <w:jc w:val="right"/>
            </w:pPr>
            <w:r>
              <w:rPr>
                <w:rFonts w:ascii="宋体" w:eastAsia="宋体" w:hAnsi="宋体" w:cs="宋体"/>
                <w:b w:val="0"/>
                <w:i w:val="0"/>
                <w:color w:val="000000"/>
                <w:sz w:val="18"/>
              </w:rPr>
              <w:t xml:space="preserve">1,553.27</w:t>
            </w:r>
          </w:p>
        </w:tc>
        <w:tc>
          <w:tcPr>
            <w:tcW w:w="1772" w:type="dxa"/>
            <w:tcBorders/>
            <w:vAlign w:val="center"/>
          </w:tcPr>
          <w:p>
            <w:pPr>
              <w:jc w:val="right"/>
            </w:pPr>
            <w:r>
              <w:rPr>
                <w:rFonts w:ascii="宋体" w:eastAsia="宋体" w:hAnsi="宋体" w:cs="宋体"/>
                <w:b w:val="0"/>
                <w:i w:val="0"/>
                <w:color w:val="000000"/>
                <w:sz w:val="18"/>
              </w:rPr>
              <w:t xml:space="preserve">190.59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1,697.37</w:t>
            </w:r>
          </w:p>
        </w:tc>
        <w:tc>
          <w:tcPr>
            <w:tcW w:w="1780" w:type="dxa"/>
            <w:tcBorders/>
            <w:vAlign w:val="center"/>
          </w:tcPr>
          <w:p>
            <w:pPr>
              <w:jc w:val="right"/>
            </w:pPr>
            <w:r>
              <w:rPr>
                <w:rFonts w:ascii="宋体" w:eastAsia="宋体" w:hAnsi="宋体" w:cs="宋体"/>
                <w:b w:val="0"/>
                <w:i w:val="0"/>
                <w:color w:val="000000"/>
                <w:sz w:val="18"/>
              </w:rPr>
              <w:t xml:space="preserve">1,553.27</w:t>
            </w:r>
          </w:p>
        </w:tc>
        <w:tc>
          <w:tcPr>
            <w:tcW w:w="1772" w:type="dxa"/>
            <w:tcBorders/>
            <w:vAlign w:val="center"/>
          </w:tcPr>
          <w:p>
            <w:pPr>
              <w:jc w:val="right"/>
            </w:pPr>
            <w:r>
              <w:rPr>
                <w:rFonts w:ascii="宋体" w:eastAsia="宋体" w:hAnsi="宋体" w:cs="宋体"/>
                <w:b w:val="0"/>
                <w:i w:val="0"/>
                <w:color w:val="000000"/>
                <w:sz w:val="18"/>
              </w:rPr>
              <w:t xml:space="preserve">144.10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2050204</w:t>
            </w:r>
          </w:p>
        </w:tc>
        <w:tc>
          <w:tcPr>
            <w:tcW w:w="4300" w:type="dxa"/>
            <w:tcBorders/>
            <w:vAlign w:val="center"/>
          </w:tcPr>
          <w:p>
            <w:pPr>
              <w:jc w:val="left"/>
            </w:pPr>
            <w:r>
              <w:rPr>
                <w:rFonts w:ascii="宋体" w:eastAsia="宋体" w:hAnsi="宋体" w:cs="宋体"/>
                <w:b w:val="0"/>
                <w:i w:val="0"/>
                <w:color w:val="000000"/>
                <w:sz w:val="18"/>
              </w:rPr>
              <w:t xml:space="preserve">高中教育</w:t>
            </w:r>
          </w:p>
        </w:tc>
        <w:tc>
          <w:tcPr>
            <w:tcW w:w="1780" w:type="dxa"/>
            <w:tcBorders/>
            <w:vAlign w:val="center"/>
          </w:tcPr>
          <w:p>
            <w:pPr>
              <w:jc w:val="right"/>
            </w:pPr>
            <w:r>
              <w:rPr>
                <w:rFonts w:ascii="宋体" w:eastAsia="宋体" w:hAnsi="宋体" w:cs="宋体"/>
                <w:b w:val="0"/>
                <w:i w:val="0"/>
                <w:color w:val="000000"/>
                <w:sz w:val="18"/>
              </w:rPr>
              <w:t xml:space="preserve">1,697.37</w:t>
            </w:r>
          </w:p>
        </w:tc>
        <w:tc>
          <w:tcPr>
            <w:tcW w:w="1780" w:type="dxa"/>
            <w:tcBorders/>
            <w:vAlign w:val="center"/>
          </w:tcPr>
          <w:p>
            <w:pPr>
              <w:jc w:val="right"/>
            </w:pPr>
            <w:r>
              <w:rPr>
                <w:rFonts w:ascii="宋体" w:eastAsia="宋体" w:hAnsi="宋体" w:cs="宋体"/>
                <w:b w:val="0"/>
                <w:i w:val="0"/>
                <w:color w:val="000000"/>
                <w:sz w:val="18"/>
              </w:rPr>
              <w:t xml:space="preserve">1,553.27</w:t>
            </w:r>
          </w:p>
        </w:tc>
        <w:tc>
          <w:tcPr>
            <w:tcW w:w="1772" w:type="dxa"/>
            <w:tcBorders/>
            <w:vAlign w:val="center"/>
          </w:tcPr>
          <w:p>
            <w:pPr>
              <w:jc w:val="right"/>
            </w:pPr>
            <w:r>
              <w:rPr>
                <w:rFonts w:ascii="宋体" w:eastAsia="宋体" w:hAnsi="宋体" w:cs="宋体"/>
                <w:b w:val="0"/>
                <w:i w:val="0"/>
                <w:color w:val="000000"/>
                <w:sz w:val="18"/>
              </w:rPr>
              <w:t xml:space="preserve">144.10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43.76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43.76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43.76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20599</w:t>
            </w:r>
          </w:p>
        </w:tc>
        <w:tc>
          <w:tcPr>
            <w:tcW w:w="4300" w:type="dxa"/>
            <w:tcBorders/>
            <w:vAlign w:val="center"/>
          </w:tcPr>
          <w:p>
            <w:pPr>
              <w:jc w:val="left"/>
            </w:pPr>
            <w:r>
              <w:rPr>
                <w:rFonts w:ascii="宋体" w:eastAsia="宋体" w:hAnsi="宋体" w:cs="宋体"/>
                <w:b w:val="0"/>
                <w:i w:val="0"/>
                <w:color w:val="000000"/>
                <w:sz w:val="18"/>
              </w:rPr>
              <w:t xml:space="preserve">其他教育支出</w:t>
            </w:r>
          </w:p>
        </w:tc>
        <w:tc>
          <w:tcPr>
            <w:tcW w:w="1780" w:type="dxa"/>
            <w:tcBorders/>
            <w:vAlign w:val="center"/>
          </w:tcPr>
          <w:p>
            <w:pPr>
              <w:jc w:val="right"/>
            </w:pPr>
            <w:r>
              <w:rPr>
                <w:rFonts w:ascii="宋体" w:eastAsia="宋体" w:hAnsi="宋体" w:cs="宋体"/>
                <w:b w:val="0"/>
                <w:i w:val="0"/>
                <w:color w:val="000000"/>
                <w:sz w:val="18"/>
              </w:rPr>
              <w:t xml:space="preserve">2.73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2059999</w:t>
            </w:r>
          </w:p>
        </w:tc>
        <w:tc>
          <w:tcPr>
            <w:tcW w:w="4300" w:type="dxa"/>
            <w:tcBorders/>
            <w:vAlign w:val="center"/>
          </w:tcPr>
          <w:p>
            <w:pPr>
              <w:jc w:val="left"/>
            </w:pPr>
            <w:r>
              <w:rPr>
                <w:rFonts w:ascii="宋体" w:eastAsia="宋体" w:hAnsi="宋体" w:cs="宋体"/>
                <w:b w:val="0"/>
                <w:i w:val="0"/>
                <w:color w:val="000000"/>
                <w:sz w:val="18"/>
              </w:rPr>
              <w:t xml:space="preserve">其他教育支出</w:t>
            </w:r>
          </w:p>
        </w:tc>
        <w:tc>
          <w:tcPr>
            <w:tcW w:w="1780" w:type="dxa"/>
            <w:tcBorders/>
            <w:vAlign w:val="center"/>
          </w:tcPr>
          <w:p>
            <w:pPr>
              <w:jc w:val="right"/>
            </w:pPr>
            <w:r>
              <w:rPr>
                <w:rFonts w:ascii="宋体" w:eastAsia="宋体" w:hAnsi="宋体" w:cs="宋体"/>
                <w:b w:val="0"/>
                <w:i w:val="0"/>
                <w:color w:val="000000"/>
                <w:sz w:val="18"/>
              </w:rPr>
              <w:t xml:space="preserve">2.73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22.69</w:t>
            </w:r>
          </w:p>
        </w:tc>
        <w:tc>
          <w:tcPr>
            <w:tcW w:w="1780" w:type="dxa"/>
            <w:tcBorders/>
            <w:vAlign w:val="center"/>
          </w:tcPr>
          <w:p>
            <w:pPr>
              <w:jc w:val="right"/>
            </w:pPr>
            <w:r>
              <w:rPr>
                <w:rFonts w:ascii="宋体" w:eastAsia="宋体" w:hAnsi="宋体" w:cs="宋体"/>
                <w:b w:val="0"/>
                <w:i w:val="0"/>
                <w:color w:val="000000"/>
                <w:sz w:val="18"/>
              </w:rPr>
              <w:t xml:space="preserve">22.69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22.69</w:t>
            </w:r>
          </w:p>
        </w:tc>
        <w:tc>
          <w:tcPr>
            <w:tcW w:w="1780" w:type="dxa"/>
            <w:tcBorders/>
            <w:vAlign w:val="center"/>
          </w:tcPr>
          <w:p>
            <w:pPr>
              <w:jc w:val="right"/>
            </w:pPr>
            <w:r>
              <w:rPr>
                <w:rFonts w:ascii="宋体" w:eastAsia="宋体" w:hAnsi="宋体" w:cs="宋体"/>
                <w:b w:val="0"/>
                <w:i w:val="0"/>
                <w:color w:val="000000"/>
                <w:sz w:val="18"/>
              </w:rPr>
              <w:t xml:space="preserve">22.69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10.64</w:t>
            </w:r>
          </w:p>
        </w:tc>
        <w:tc>
          <w:tcPr>
            <w:tcW w:w="1780" w:type="dxa"/>
            <w:tcBorders/>
            <w:vAlign w:val="center"/>
          </w:tcPr>
          <w:p>
            <w:pPr>
              <w:jc w:val="right"/>
            </w:pPr>
            <w:r>
              <w:rPr>
                <w:rFonts w:ascii="宋体" w:eastAsia="宋体" w:hAnsi="宋体" w:cs="宋体"/>
                <w:b w:val="0"/>
                <w:i w:val="0"/>
                <w:color w:val="000000"/>
                <w:sz w:val="18"/>
              </w:rPr>
              <w:t xml:space="preserve">10.64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12.05</w:t>
            </w:r>
          </w:p>
        </w:tc>
        <w:tc>
          <w:tcPr>
            <w:tcW w:w="1780" w:type="dxa"/>
            <w:tcBorders/>
            <w:vAlign w:val="center"/>
          </w:tcPr>
          <w:p>
            <w:pPr>
              <w:jc w:val="right"/>
            </w:pPr>
            <w:r>
              <w:rPr>
                <w:rFonts w:ascii="宋体" w:eastAsia="宋体" w:hAnsi="宋体" w:cs="宋体"/>
                <w:b w:val="0"/>
                <w:i w:val="0"/>
                <w:color w:val="000000"/>
                <w:sz w:val="18"/>
              </w:rPr>
              <w:t xml:space="preserve">12.05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单位：辽宁省沈阳市浑南高级中学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1,432.04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99.24</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544.83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46.87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180.50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0.92</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41.89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10.29</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17.17</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351.96</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5.74</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10.29</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191.78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12.96</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12.05</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0.40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86.94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4.91</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2.99</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5.50</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34.40</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jc w:val="right"/>
            </w:pPr>
            <w:r>
              <w:rPr>
                <w:rFonts w:ascii="宋体" w:eastAsia="宋体" w:hAnsi="宋体" w:cs="宋体"/>
                <w:b w:val="0"/>
                <w:i w:val="0"/>
                <w:color w:val="000000"/>
                <w:sz w:val="14"/>
              </w:rPr>
              <w:t xml:space="preserve">0.16</w:t>
            </w: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3.50</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10.64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3.37</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21.31</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2.45</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3.36</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12.86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0.61</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1,466.44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109.53</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单位：辽宁省沈阳市浑南高级中学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单位：辽宁省沈阳市浑南高级中学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单位：辽宁省沈阳市浑南高级中学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沈阳市浑南高级中学-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沈阳市浑南高级中学-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普通高中生均公用经费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沈阳市浑南高级中学-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39.89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39.89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人民政府关于印发沈阳市进一步完善城乡义务教育经费保障机制实施方案的通知》（沈政发〔2016〕34号）确保区域内各级各类学校正常运转，资金拨付具有必要性，确保教育教学工作顺利开展，师生在校能够安心教学。保障高中生均经费及时足额下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生均拨款水平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优化校园教学生活环境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改善校内生态环境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生态均衡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提升义务教育薄弱环节改善与能力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沈阳市浑南高级中学-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预算外经费-2024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沈阳市浑南高级中学-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中收取学费、住宿费纳入预算外专户管理，是高中生均经费的一部分，其中学费每学年每生1400元，学费每生每年400元。五十一中学账户余额792.8万元；浑南高级中学余额107.63万元，共计900.43万元。高中经费是教育支出重要组成部分，是保障高中顺利进行各项教育教学工作的保障，是教育均衡发展考核的重要指标，同时，也是国家、省、市各部门重点检查的项目，为保障高中教育平稳运行，顺利开展各项教育教学活动，需予以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023003沈阳市浑南高级中学-210112000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1754.28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1754.28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1387.24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1387.24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79.19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基本支出公用经费(其他)</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96.33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保证人员基本工资，保证学校的正常运行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提高教师队伍普通话水平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全部通过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完成教学改革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现代教学科研制度改革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