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辽宁省沈阳市浑南区创新第一小学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辽宁省沈阳市浑南区创新第一小学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辽宁省沈阳市浑南区创新第一小学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辽宁省沈阳市浑南区创新第一小学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辽宁省沈阳市浑南区创新第一小学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辽宁省沈阳市浑南区创新第一小学概况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时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辽宁省沈阳市浑南区创新第一小学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沈阳市浑南区创新第一小学是纳入浑南区教育局2024年决算编制范围的二级预算单位，本单位无下设机构。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702.49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701.91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99.92</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701.91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0.58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主要是浑南区教育局转2021年教育事业发展捐赠结余款等。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增加195.80万元，增长38.64%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学校规模扩大，一是招聘了大量老师，人员经费增加；二是学生增多，生均经费增加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702.49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614.50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87.48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工资福利支出602.63万元；商品和服务支出11.87万元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87.99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12.52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主要包括缴纳残疾人就业保障金、2024年教师绩效、2024年城乡义务教育补助经费等业务支出。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增加196.37万元，增长38.80%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学校规模扩大，一是招聘了大量老师，人员经费增加；二是学生增多，生均经费增加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减少0.58万元，降低100.00%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浑南区教育局转2021年教育事业发展捐赠结余款已支付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701.91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614.50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87.41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增加203.60万元，增长40.86%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2024年度教师和学生人数增加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92.46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80.95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2024年度一般公共预算财政拨款支出701.91万元。按支出功能分类科目分，包括：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1.教育支出701.91万元，具体包括：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小学教育（项）701.91万元,主要是工资福利支出，商品和服务支出，对个人和家庭补助等支出，完成年初预算的92.72%，决算数与年初预算数存在差异的主要原因是住房补贴延迟到2025年发放。</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614.50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602.63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11.87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759.11万元。其中，一般公共预算资金759.11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0个；得分在60分以下、等级为“差”的项目有0个。保持优势，继续保持资金使用效率。</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701.91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702.49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701.91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702.49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0.58</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702.49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702.49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701.91</w:t>
            </w:r>
          </w:p>
        </w:tc>
        <w:tc>
          <w:tcPr>
            <w:tcW w:w="960" w:type="dxa"/>
            <w:tcBorders/>
            <w:vAlign w:val="center"/>
          </w:tcPr>
          <w:p>
            <w:pPr>
              <w:jc w:val="right"/>
            </w:pPr>
            <w:r>
              <w:rPr>
                <w:rFonts w:ascii="宋体" w:eastAsia="宋体" w:hAnsi="宋体" w:cs="宋体"/>
                <w:b/>
                <w:i w:val="0"/>
                <w:color w:val="000000"/>
                <w:sz w:val="13"/>
              </w:rPr>
              <w:t xml:space="preserve">701.91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701.91</w:t>
            </w:r>
          </w:p>
        </w:tc>
        <w:tc>
          <w:tcPr>
            <w:tcW w:w="960" w:type="dxa"/>
            <w:tcBorders/>
            <w:vAlign w:val="center"/>
          </w:tcPr>
          <w:p>
            <w:pPr>
              <w:jc w:val="right"/>
            </w:pPr>
            <w:r>
              <w:rPr>
                <w:rFonts w:ascii="宋体" w:eastAsia="宋体" w:hAnsi="宋体" w:cs="宋体"/>
                <w:b w:val="0"/>
                <w:i w:val="0"/>
                <w:color w:val="000000"/>
                <w:sz w:val="13"/>
              </w:rPr>
              <w:t xml:space="preserve">701.91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701.91</w:t>
            </w:r>
          </w:p>
        </w:tc>
        <w:tc>
          <w:tcPr>
            <w:tcW w:w="960" w:type="dxa"/>
            <w:tcBorders/>
            <w:vAlign w:val="center"/>
          </w:tcPr>
          <w:p>
            <w:pPr>
              <w:jc w:val="right"/>
            </w:pPr>
            <w:r>
              <w:rPr>
                <w:rFonts w:ascii="宋体" w:eastAsia="宋体" w:hAnsi="宋体" w:cs="宋体"/>
                <w:b w:val="0"/>
                <w:i w:val="0"/>
                <w:color w:val="000000"/>
                <w:sz w:val="13"/>
              </w:rPr>
              <w:t xml:space="preserve">701.91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701.91</w:t>
            </w:r>
          </w:p>
        </w:tc>
        <w:tc>
          <w:tcPr>
            <w:tcW w:w="960" w:type="dxa"/>
            <w:tcBorders/>
            <w:vAlign w:val="center"/>
          </w:tcPr>
          <w:p>
            <w:pPr>
              <w:jc w:val="right"/>
            </w:pPr>
            <w:r>
              <w:rPr>
                <w:rFonts w:ascii="宋体" w:eastAsia="宋体" w:hAnsi="宋体" w:cs="宋体"/>
                <w:b w:val="0"/>
                <w:i w:val="0"/>
                <w:color w:val="000000"/>
                <w:sz w:val="13"/>
              </w:rPr>
              <w:t xml:space="preserve">701.91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702.49</w:t>
            </w:r>
          </w:p>
        </w:tc>
        <w:tc>
          <w:tcPr>
            <w:tcW w:w="1060" w:type="dxa"/>
            <w:tcBorders/>
            <w:vAlign w:val="center"/>
          </w:tcPr>
          <w:p>
            <w:pPr>
              <w:jc w:val="right"/>
            </w:pPr>
            <w:r>
              <w:rPr>
                <w:rFonts w:ascii="宋体" w:eastAsia="宋体" w:hAnsi="宋体" w:cs="宋体"/>
                <w:b/>
                <w:i w:val="0"/>
                <w:color w:val="000000"/>
                <w:sz w:val="14"/>
              </w:rPr>
              <w:t xml:space="preserve">614.50</w:t>
            </w:r>
          </w:p>
        </w:tc>
        <w:tc>
          <w:tcPr>
            <w:tcW w:w="1060" w:type="dxa"/>
            <w:tcBorders/>
            <w:vAlign w:val="center"/>
          </w:tcPr>
          <w:p>
            <w:pPr>
              <w:jc w:val="right"/>
            </w:pPr>
            <w:r>
              <w:rPr>
                <w:rFonts w:ascii="宋体" w:eastAsia="宋体" w:hAnsi="宋体" w:cs="宋体"/>
                <w:b/>
                <w:i w:val="0"/>
                <w:color w:val="000000"/>
                <w:sz w:val="14"/>
              </w:rPr>
              <w:t xml:space="preserve">87.99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702.49</w:t>
            </w:r>
          </w:p>
        </w:tc>
        <w:tc>
          <w:tcPr>
            <w:tcW w:w="1060" w:type="dxa"/>
            <w:tcBorders/>
            <w:vAlign w:val="center"/>
          </w:tcPr>
          <w:p>
            <w:pPr>
              <w:jc w:val="right"/>
            </w:pPr>
            <w:r>
              <w:rPr>
                <w:rFonts w:ascii="宋体" w:eastAsia="宋体" w:hAnsi="宋体" w:cs="宋体"/>
                <w:b w:val="0"/>
                <w:i w:val="0"/>
                <w:color w:val="000000"/>
                <w:sz w:val="14"/>
              </w:rPr>
              <w:t xml:space="preserve">614.50</w:t>
            </w:r>
          </w:p>
        </w:tc>
        <w:tc>
          <w:tcPr>
            <w:tcW w:w="1060" w:type="dxa"/>
            <w:tcBorders/>
            <w:vAlign w:val="center"/>
          </w:tcPr>
          <w:p>
            <w:pPr>
              <w:jc w:val="right"/>
            </w:pPr>
            <w:r>
              <w:rPr>
                <w:rFonts w:ascii="宋体" w:eastAsia="宋体" w:hAnsi="宋体" w:cs="宋体"/>
                <w:b w:val="0"/>
                <w:i w:val="0"/>
                <w:color w:val="000000"/>
                <w:sz w:val="14"/>
              </w:rPr>
              <w:t xml:space="preserve">87.99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702.49</w:t>
            </w:r>
          </w:p>
        </w:tc>
        <w:tc>
          <w:tcPr>
            <w:tcW w:w="1060" w:type="dxa"/>
            <w:tcBorders/>
            <w:vAlign w:val="center"/>
          </w:tcPr>
          <w:p>
            <w:pPr>
              <w:jc w:val="right"/>
            </w:pPr>
            <w:r>
              <w:rPr>
                <w:rFonts w:ascii="宋体" w:eastAsia="宋体" w:hAnsi="宋体" w:cs="宋体"/>
                <w:b w:val="0"/>
                <w:i w:val="0"/>
                <w:color w:val="000000"/>
                <w:sz w:val="14"/>
              </w:rPr>
              <w:t xml:space="preserve">614.50</w:t>
            </w:r>
          </w:p>
        </w:tc>
        <w:tc>
          <w:tcPr>
            <w:tcW w:w="1060" w:type="dxa"/>
            <w:tcBorders/>
            <w:vAlign w:val="center"/>
          </w:tcPr>
          <w:p>
            <w:pPr>
              <w:jc w:val="right"/>
            </w:pPr>
            <w:r>
              <w:rPr>
                <w:rFonts w:ascii="宋体" w:eastAsia="宋体" w:hAnsi="宋体" w:cs="宋体"/>
                <w:b w:val="0"/>
                <w:i w:val="0"/>
                <w:color w:val="000000"/>
                <w:sz w:val="14"/>
              </w:rPr>
              <w:t xml:space="preserve">87.99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701.91</w:t>
            </w:r>
          </w:p>
        </w:tc>
        <w:tc>
          <w:tcPr>
            <w:tcW w:w="1060" w:type="dxa"/>
            <w:tcBorders/>
            <w:vAlign w:val="center"/>
          </w:tcPr>
          <w:p>
            <w:pPr>
              <w:jc w:val="right"/>
            </w:pPr>
            <w:r>
              <w:rPr>
                <w:rFonts w:ascii="宋体" w:eastAsia="宋体" w:hAnsi="宋体" w:cs="宋体"/>
                <w:b w:val="0"/>
                <w:i w:val="0"/>
                <w:color w:val="000000"/>
                <w:sz w:val="14"/>
              </w:rPr>
              <w:t xml:space="preserve">614.50</w:t>
            </w:r>
          </w:p>
        </w:tc>
        <w:tc>
          <w:tcPr>
            <w:tcW w:w="1060" w:type="dxa"/>
            <w:tcBorders/>
            <w:vAlign w:val="center"/>
          </w:tcPr>
          <w:p>
            <w:pPr>
              <w:jc w:val="right"/>
            </w:pPr>
            <w:r>
              <w:rPr>
                <w:rFonts w:ascii="宋体" w:eastAsia="宋体" w:hAnsi="宋体" w:cs="宋体"/>
                <w:b w:val="0"/>
                <w:i w:val="0"/>
                <w:color w:val="000000"/>
                <w:sz w:val="14"/>
              </w:rPr>
              <w:t xml:space="preserve">87.41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0.58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1100" w:type="dxa"/>
            <w:tcBorders/>
            <w:vAlign w:val="center"/>
          </w:tcPr>
          <w:p>
            <w:pPr>
              <w:jc w:val="right"/>
            </w:pPr>
            <w:r>
              <w:rPr>
                <w:rFonts w:ascii="宋体" w:eastAsia="宋体" w:hAnsi="宋体" w:cs="宋体"/>
                <w:b w:val="0"/>
                <w:i w:val="0"/>
                <w:color w:val="000000"/>
                <w:sz w:val="14"/>
              </w:rPr>
              <w:t xml:space="preserve">701.91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701.91</w:t>
            </w:r>
          </w:p>
        </w:tc>
        <w:tc>
          <w:tcPr>
            <w:tcW w:w="1780" w:type="dxa"/>
            <w:tcBorders/>
            <w:vAlign w:val="center"/>
          </w:tcPr>
          <w:p>
            <w:pPr>
              <w:jc w:val="right"/>
            </w:pPr>
            <w:r>
              <w:rPr>
                <w:rFonts w:ascii="宋体" w:eastAsia="宋体" w:hAnsi="宋体" w:cs="宋体"/>
                <w:b/>
                <w:i w:val="0"/>
                <w:color w:val="000000"/>
                <w:sz w:val="18"/>
              </w:rPr>
              <w:t xml:space="preserve">614.50</w:t>
            </w:r>
          </w:p>
        </w:tc>
        <w:tc>
          <w:tcPr>
            <w:tcW w:w="1772" w:type="dxa"/>
            <w:tcBorders/>
            <w:vAlign w:val="center"/>
          </w:tcPr>
          <w:p>
            <w:pPr>
              <w:jc w:val="right"/>
            </w:pPr>
            <w:r>
              <w:rPr>
                <w:rFonts w:ascii="宋体" w:eastAsia="宋体" w:hAnsi="宋体" w:cs="宋体"/>
                <w:b/>
                <w:i w:val="0"/>
                <w:color w:val="000000"/>
                <w:sz w:val="18"/>
              </w:rPr>
              <w:t xml:space="preserve">87.41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701.91</w:t>
            </w:r>
          </w:p>
        </w:tc>
        <w:tc>
          <w:tcPr>
            <w:tcW w:w="1780" w:type="dxa"/>
            <w:tcBorders/>
            <w:vAlign w:val="center"/>
          </w:tcPr>
          <w:p>
            <w:pPr>
              <w:jc w:val="right"/>
            </w:pPr>
            <w:r>
              <w:rPr>
                <w:rFonts w:ascii="宋体" w:eastAsia="宋体" w:hAnsi="宋体" w:cs="宋体"/>
                <w:b w:val="0"/>
                <w:i w:val="0"/>
                <w:color w:val="000000"/>
                <w:sz w:val="18"/>
              </w:rPr>
              <w:t xml:space="preserve">614.50</w:t>
            </w:r>
          </w:p>
        </w:tc>
        <w:tc>
          <w:tcPr>
            <w:tcW w:w="1772" w:type="dxa"/>
            <w:tcBorders/>
            <w:vAlign w:val="center"/>
          </w:tcPr>
          <w:p>
            <w:pPr>
              <w:jc w:val="right"/>
            </w:pPr>
            <w:r>
              <w:rPr>
                <w:rFonts w:ascii="宋体" w:eastAsia="宋体" w:hAnsi="宋体" w:cs="宋体"/>
                <w:b w:val="0"/>
                <w:i w:val="0"/>
                <w:color w:val="000000"/>
                <w:sz w:val="18"/>
              </w:rPr>
              <w:t xml:space="preserve">87.41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701.91</w:t>
            </w:r>
          </w:p>
        </w:tc>
        <w:tc>
          <w:tcPr>
            <w:tcW w:w="1780" w:type="dxa"/>
            <w:tcBorders/>
            <w:vAlign w:val="center"/>
          </w:tcPr>
          <w:p>
            <w:pPr>
              <w:jc w:val="right"/>
            </w:pPr>
            <w:r>
              <w:rPr>
                <w:rFonts w:ascii="宋体" w:eastAsia="宋体" w:hAnsi="宋体" w:cs="宋体"/>
                <w:b w:val="0"/>
                <w:i w:val="0"/>
                <w:color w:val="000000"/>
                <w:sz w:val="18"/>
              </w:rPr>
              <w:t xml:space="preserve">614.50</w:t>
            </w:r>
          </w:p>
        </w:tc>
        <w:tc>
          <w:tcPr>
            <w:tcW w:w="1772" w:type="dxa"/>
            <w:tcBorders/>
            <w:vAlign w:val="center"/>
          </w:tcPr>
          <w:p>
            <w:pPr>
              <w:jc w:val="right"/>
            </w:pPr>
            <w:r>
              <w:rPr>
                <w:rFonts w:ascii="宋体" w:eastAsia="宋体" w:hAnsi="宋体" w:cs="宋体"/>
                <w:b w:val="0"/>
                <w:i w:val="0"/>
                <w:color w:val="000000"/>
                <w:sz w:val="18"/>
              </w:rPr>
              <w:t xml:space="preserve">87.41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701.91</w:t>
            </w:r>
          </w:p>
        </w:tc>
        <w:tc>
          <w:tcPr>
            <w:tcW w:w="1780" w:type="dxa"/>
            <w:tcBorders/>
            <w:vAlign w:val="center"/>
          </w:tcPr>
          <w:p>
            <w:pPr>
              <w:jc w:val="right"/>
            </w:pPr>
            <w:r>
              <w:rPr>
                <w:rFonts w:ascii="宋体" w:eastAsia="宋体" w:hAnsi="宋体" w:cs="宋体"/>
                <w:b w:val="0"/>
                <w:i w:val="0"/>
                <w:color w:val="000000"/>
                <w:sz w:val="18"/>
              </w:rPr>
              <w:t xml:space="preserve">614.50</w:t>
            </w:r>
          </w:p>
        </w:tc>
        <w:tc>
          <w:tcPr>
            <w:tcW w:w="1772" w:type="dxa"/>
            <w:tcBorders/>
            <w:vAlign w:val="center"/>
          </w:tcPr>
          <w:p>
            <w:pPr>
              <w:jc w:val="right"/>
            </w:pPr>
            <w:r>
              <w:rPr>
                <w:rFonts w:ascii="宋体" w:eastAsia="宋体" w:hAnsi="宋体" w:cs="宋体"/>
                <w:b w:val="0"/>
                <w:i w:val="0"/>
                <w:color w:val="000000"/>
                <w:sz w:val="18"/>
              </w:rPr>
              <w:t xml:space="preserve">87.41</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602.63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11.87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212.78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82.44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13.64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8.73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157.13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80.00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4.20</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44.42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0.48</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3.50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0.04</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7.14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602.63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11.87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单位：辽宁省沈阳市浑南区创新第一小学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023050沈阳市浑南区创新第一小学-210112000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759.11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759.11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29.35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573.27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573.26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积极配合上级领导交代的任务，按时按期完成人员项目和公用经费项目的列支。</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积极配合上级领导交代的任务，按时按期完成人员项目和公用经费项目的列支。</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沈阳市浑南区创新第一小学-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沈阳市浑南区创新第一小学-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沈阳市浑南区创新第一小学-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