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辽宁省沈阳市浑南区朝鲜族学校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辽宁省沈阳市浑南区朝鲜族学校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辽宁省沈阳市浑南区朝鲜族学校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辽宁省沈阳市浑南区朝鲜族学校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辽宁省沈阳市浑南区朝鲜族学校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辽宁省沈阳市浑南区朝鲜族学校概况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（一）、我校是九年一贯制学校兼容幼儿园，对沈阳市浑南区及周边适龄儿童及幼儿进行招收。</w:t>
        <w:br/>
        <w:t xml:space="preserve">    1、全面贯彻国家教育方针，即教育必须为社会主义现代化建设服务、为人民服务，必须与生产劳动和社会实践相结合，培养德、智、体、美等方面全面发展的社会主义建设者和接班人。</w:t>
        <w:br/>
        <w:t xml:space="preserve">    2、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依法接受各级教育行政部门的检查指导和人民群众的监督。</w:t>
        <w:br/>
        <w:t xml:space="preserve">    3、财务管理方面：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br/>
        <w:t xml:space="preserve">    （二）、内设机构：我校为公益一类、全额拨款事业单位。</w:t>
        <w:br/>
        <w:t xml:space="preserve">    内设机构有：教导处、德育处、总务处、办公室、团委、幼儿园。</w:t>
        <w:br/>
        <w:t xml:space="preserve">    （三）人员编制：根据沈阳市浑南区机构编制委员会办公室下发的沈浑南编办发文件，我校的编制数为70人。</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辽宁省沈阳市浑南区朝鲜族学校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沈阳市浑南区朝鲜族学校是纳入浑南区教育局2024年度部门决算编制范围的二级单位，本单位无下设机构。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1530.92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1528.63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99.85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1528.63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0.49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1.80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主要是区聘教师工会经费及划艇设备质保金等。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减少25.81万元，降低1.66%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调整教育资源分配</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1529.70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1055.53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69.00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工资福利支出1008.16万元；商品和服务支出10.32万元；对个人和家庭的补助37.05万元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474.17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31.00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非财政拨款预算项目、幼儿园保教费、学前奖补、城乡义务教育补助经费、学生资助、区聘教师经费、教师绩效、缴纳残疾人就业保障金、义务教育阶段特殊教育学校和随班就读残疾学生生均公用经费、2021年教育事业发展捐赠款、21年学生储物柜质保金、住宿生伙食补助、教育教学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减少25.23万元，降低1.62%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生源变化，教育相关支出减少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主要是非财政拨款预算项目等原因形成的结余。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减少0.58万元，降低32.22%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教育事业发展捐赠减少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1528.63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1055.53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473.10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增加39.53万元，增长2.65%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129.64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89.51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2024年度一般公共预算财政拨款支出1528.63万元。按支出功能分类科目分，包括：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1.教育支出1481.03万元，具体包括：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203.92万元,主要是商品和服务支出、资本性支出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初中教育（项）1218.81万元,主要是工资福利支出、商品和服务支出、对个人和家庭的补助、资本性支出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58.30万元,主要是商品服务支出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2.社会保障和就业支出47.61万元，具体包括：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28.51万元,主要是对个人和家庭的补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15.84万元,主要是工资福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伤残抚恤（项）3.26万元,主要是对个人和家庭的补助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1055.53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1045.21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10.32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０</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０</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０</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组织对1个单位开展整体绩效自评，涉及资金1179.17万元，自评平均分90分。附《部门（单位）整体绩效自评表》。</w:t>
        <w:br/>
        <w:t xml:space="preserve">    2.项目绩效自评情况及结果。</w:t>
        <w:br/>
        <w:t xml:space="preserve">    学校未发生项目绩效自评表。</w:t>
        <w:br/>
        <w:t xml:space="preserve">    3.部门重点评价情况及结果。</w:t>
        <w:br/>
        <w:t xml:space="preserve">    我单位未产生资金量大、社会关注度高的民生领域项目，因此暂未做重点项目绩效评价。</w:t>
        <w:br/>
        <w:t xml:space="preserve">    4.财政重点评价情况及结果。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16.教育支出（类）普通教育（款）学前教育（项）：反映各部门举办的教育支出。政府各部门对社会组织等举办的资助。如捐赠、补贴等。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1,528.63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1,482.10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0.49</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47.60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1,529.12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1,529.70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1.80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1,530.92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1,530.92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1,529.12</w:t>
            </w:r>
          </w:p>
        </w:tc>
        <w:tc>
          <w:tcPr>
            <w:tcW w:w="960" w:type="dxa"/>
            <w:tcBorders/>
            <w:vAlign w:val="center"/>
          </w:tcPr>
          <w:p>
            <w:pPr>
              <w:jc w:val="right"/>
            </w:pPr>
            <w:r>
              <w:rPr>
                <w:rFonts w:ascii="宋体" w:eastAsia="宋体" w:hAnsi="宋体" w:cs="宋体"/>
                <w:b/>
                <w:i w:val="0"/>
                <w:color w:val="000000"/>
                <w:sz w:val="13"/>
              </w:rPr>
              <w:t xml:space="preserve">1,528.63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0.49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1,481.52</w:t>
            </w:r>
          </w:p>
        </w:tc>
        <w:tc>
          <w:tcPr>
            <w:tcW w:w="960" w:type="dxa"/>
            <w:tcBorders/>
            <w:vAlign w:val="center"/>
          </w:tcPr>
          <w:p>
            <w:pPr>
              <w:jc w:val="right"/>
            </w:pPr>
            <w:r>
              <w:rPr>
                <w:rFonts w:ascii="宋体" w:eastAsia="宋体" w:hAnsi="宋体" w:cs="宋体"/>
                <w:b w:val="0"/>
                <w:i w:val="0"/>
                <w:color w:val="000000"/>
                <w:sz w:val="13"/>
              </w:rPr>
              <w:t xml:space="preserve">1,481.03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1,423.22</w:t>
            </w:r>
          </w:p>
        </w:tc>
        <w:tc>
          <w:tcPr>
            <w:tcW w:w="960" w:type="dxa"/>
            <w:tcBorders/>
            <w:vAlign w:val="center"/>
          </w:tcPr>
          <w:p>
            <w:pPr>
              <w:jc w:val="right"/>
            </w:pPr>
            <w:r>
              <w:rPr>
                <w:rFonts w:ascii="宋体" w:eastAsia="宋体" w:hAnsi="宋体" w:cs="宋体"/>
                <w:b w:val="0"/>
                <w:i w:val="0"/>
                <w:color w:val="000000"/>
                <w:sz w:val="13"/>
              </w:rPr>
              <w:t xml:space="preserve">1,422.73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203.92</w:t>
            </w:r>
          </w:p>
        </w:tc>
        <w:tc>
          <w:tcPr>
            <w:tcW w:w="960" w:type="dxa"/>
            <w:tcBorders/>
            <w:vAlign w:val="center"/>
          </w:tcPr>
          <w:p>
            <w:pPr>
              <w:jc w:val="right"/>
            </w:pPr>
            <w:r>
              <w:rPr>
                <w:rFonts w:ascii="宋体" w:eastAsia="宋体" w:hAnsi="宋体" w:cs="宋体"/>
                <w:b w:val="0"/>
                <w:i w:val="0"/>
                <w:color w:val="000000"/>
                <w:sz w:val="13"/>
              </w:rPr>
              <w:t xml:space="preserve">203.92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1,218.81</w:t>
            </w:r>
          </w:p>
        </w:tc>
        <w:tc>
          <w:tcPr>
            <w:tcW w:w="960" w:type="dxa"/>
            <w:tcBorders/>
            <w:vAlign w:val="center"/>
          </w:tcPr>
          <w:p>
            <w:pPr>
              <w:jc w:val="right"/>
            </w:pPr>
            <w:r>
              <w:rPr>
                <w:rFonts w:ascii="宋体" w:eastAsia="宋体" w:hAnsi="宋体" w:cs="宋体"/>
                <w:b w:val="0"/>
                <w:i w:val="0"/>
                <w:color w:val="000000"/>
                <w:sz w:val="13"/>
              </w:rPr>
              <w:t xml:space="preserve">1,218.81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0.49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58.30</w:t>
            </w:r>
          </w:p>
        </w:tc>
        <w:tc>
          <w:tcPr>
            <w:tcW w:w="960" w:type="dxa"/>
            <w:tcBorders/>
            <w:vAlign w:val="center"/>
          </w:tcPr>
          <w:p>
            <w:pPr>
              <w:jc w:val="right"/>
            </w:pPr>
            <w:r>
              <w:rPr>
                <w:rFonts w:ascii="宋体" w:eastAsia="宋体" w:hAnsi="宋体" w:cs="宋体"/>
                <w:b w:val="0"/>
                <w:i w:val="0"/>
                <w:color w:val="000000"/>
                <w:sz w:val="13"/>
              </w:rPr>
              <w:t xml:space="preserve">58.30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58.30</w:t>
            </w:r>
          </w:p>
        </w:tc>
        <w:tc>
          <w:tcPr>
            <w:tcW w:w="960" w:type="dxa"/>
            <w:tcBorders/>
            <w:vAlign w:val="center"/>
          </w:tcPr>
          <w:p>
            <w:pPr>
              <w:jc w:val="right"/>
            </w:pPr>
            <w:r>
              <w:rPr>
                <w:rFonts w:ascii="宋体" w:eastAsia="宋体" w:hAnsi="宋体" w:cs="宋体"/>
                <w:b w:val="0"/>
                <w:i w:val="0"/>
                <w:color w:val="000000"/>
                <w:sz w:val="13"/>
              </w:rPr>
              <w:t xml:space="preserve">58.30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47.61</w:t>
            </w:r>
          </w:p>
        </w:tc>
        <w:tc>
          <w:tcPr>
            <w:tcW w:w="960" w:type="dxa"/>
            <w:tcBorders/>
            <w:vAlign w:val="center"/>
          </w:tcPr>
          <w:p>
            <w:pPr>
              <w:jc w:val="right"/>
            </w:pPr>
            <w:r>
              <w:rPr>
                <w:rFonts w:ascii="宋体" w:eastAsia="宋体" w:hAnsi="宋体" w:cs="宋体"/>
                <w:b w:val="0"/>
                <w:i w:val="0"/>
                <w:color w:val="000000"/>
                <w:sz w:val="13"/>
              </w:rPr>
              <w:t xml:space="preserve">47.61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44.35</w:t>
            </w:r>
          </w:p>
        </w:tc>
        <w:tc>
          <w:tcPr>
            <w:tcW w:w="960" w:type="dxa"/>
            <w:tcBorders/>
            <w:vAlign w:val="center"/>
          </w:tcPr>
          <w:p>
            <w:pPr>
              <w:jc w:val="right"/>
            </w:pPr>
            <w:r>
              <w:rPr>
                <w:rFonts w:ascii="宋体" w:eastAsia="宋体" w:hAnsi="宋体" w:cs="宋体"/>
                <w:b w:val="0"/>
                <w:i w:val="0"/>
                <w:color w:val="000000"/>
                <w:sz w:val="13"/>
              </w:rPr>
              <w:t xml:space="preserve">44.35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28.51</w:t>
            </w:r>
          </w:p>
        </w:tc>
        <w:tc>
          <w:tcPr>
            <w:tcW w:w="960" w:type="dxa"/>
            <w:tcBorders/>
            <w:vAlign w:val="center"/>
          </w:tcPr>
          <w:p>
            <w:pPr>
              <w:jc w:val="right"/>
            </w:pPr>
            <w:r>
              <w:rPr>
                <w:rFonts w:ascii="宋体" w:eastAsia="宋体" w:hAnsi="宋体" w:cs="宋体"/>
                <w:b w:val="0"/>
                <w:i w:val="0"/>
                <w:color w:val="000000"/>
                <w:sz w:val="13"/>
              </w:rPr>
              <w:t xml:space="preserve">28.51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15.84</w:t>
            </w:r>
          </w:p>
        </w:tc>
        <w:tc>
          <w:tcPr>
            <w:tcW w:w="960" w:type="dxa"/>
            <w:tcBorders/>
            <w:vAlign w:val="center"/>
          </w:tcPr>
          <w:p>
            <w:pPr>
              <w:jc w:val="right"/>
            </w:pPr>
            <w:r>
              <w:rPr>
                <w:rFonts w:ascii="宋体" w:eastAsia="宋体" w:hAnsi="宋体" w:cs="宋体"/>
                <w:b w:val="0"/>
                <w:i w:val="0"/>
                <w:color w:val="000000"/>
                <w:sz w:val="13"/>
              </w:rPr>
              <w:t xml:space="preserve">15.84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3.26</w:t>
            </w:r>
          </w:p>
        </w:tc>
        <w:tc>
          <w:tcPr>
            <w:tcW w:w="960" w:type="dxa"/>
            <w:tcBorders/>
            <w:vAlign w:val="center"/>
          </w:tcPr>
          <w:p>
            <w:pPr>
              <w:jc w:val="right"/>
            </w:pPr>
            <w:r>
              <w:rPr>
                <w:rFonts w:ascii="宋体" w:eastAsia="宋体" w:hAnsi="宋体" w:cs="宋体"/>
                <w:b w:val="0"/>
                <w:i w:val="0"/>
                <w:color w:val="000000"/>
                <w:sz w:val="13"/>
              </w:rPr>
              <w:t xml:space="preserve">3.26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3.26</w:t>
            </w:r>
          </w:p>
        </w:tc>
        <w:tc>
          <w:tcPr>
            <w:tcW w:w="960" w:type="dxa"/>
            <w:tcBorders/>
            <w:vAlign w:val="center"/>
          </w:tcPr>
          <w:p>
            <w:pPr>
              <w:jc w:val="right"/>
            </w:pPr>
            <w:r>
              <w:rPr>
                <w:rFonts w:ascii="宋体" w:eastAsia="宋体" w:hAnsi="宋体" w:cs="宋体"/>
                <w:b w:val="0"/>
                <w:i w:val="0"/>
                <w:color w:val="000000"/>
                <w:sz w:val="13"/>
              </w:rPr>
              <w:t xml:space="preserve">3.26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1,529.70</w:t>
            </w:r>
          </w:p>
        </w:tc>
        <w:tc>
          <w:tcPr>
            <w:tcW w:w="1060" w:type="dxa"/>
            <w:tcBorders/>
            <w:vAlign w:val="center"/>
          </w:tcPr>
          <w:p>
            <w:pPr>
              <w:jc w:val="right"/>
            </w:pPr>
            <w:r>
              <w:rPr>
                <w:rFonts w:ascii="宋体" w:eastAsia="宋体" w:hAnsi="宋体" w:cs="宋体"/>
                <w:b/>
                <w:i w:val="0"/>
                <w:color w:val="000000"/>
                <w:sz w:val="14"/>
              </w:rPr>
              <w:t xml:space="preserve">1,055.53</w:t>
            </w:r>
          </w:p>
        </w:tc>
        <w:tc>
          <w:tcPr>
            <w:tcW w:w="1060" w:type="dxa"/>
            <w:tcBorders/>
            <w:vAlign w:val="center"/>
          </w:tcPr>
          <w:p>
            <w:pPr>
              <w:jc w:val="right"/>
            </w:pPr>
            <w:r>
              <w:rPr>
                <w:rFonts w:ascii="宋体" w:eastAsia="宋体" w:hAnsi="宋体" w:cs="宋体"/>
                <w:b/>
                <w:i w:val="0"/>
                <w:color w:val="000000"/>
                <w:sz w:val="14"/>
              </w:rPr>
              <w:t xml:space="preserve">474.17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1,482.10</w:t>
            </w:r>
          </w:p>
        </w:tc>
        <w:tc>
          <w:tcPr>
            <w:tcW w:w="1060" w:type="dxa"/>
            <w:tcBorders/>
            <w:vAlign w:val="center"/>
          </w:tcPr>
          <w:p>
            <w:pPr>
              <w:jc w:val="right"/>
            </w:pPr>
            <w:r>
              <w:rPr>
                <w:rFonts w:ascii="宋体" w:eastAsia="宋体" w:hAnsi="宋体" w:cs="宋体"/>
                <w:b w:val="0"/>
                <w:i w:val="0"/>
                <w:color w:val="000000"/>
                <w:sz w:val="14"/>
              </w:rPr>
              <w:t xml:space="preserve">1,007.93</w:t>
            </w:r>
          </w:p>
        </w:tc>
        <w:tc>
          <w:tcPr>
            <w:tcW w:w="1060" w:type="dxa"/>
            <w:tcBorders/>
            <w:vAlign w:val="center"/>
          </w:tcPr>
          <w:p>
            <w:pPr>
              <w:jc w:val="right"/>
            </w:pPr>
            <w:r>
              <w:rPr>
                <w:rFonts w:ascii="宋体" w:eastAsia="宋体" w:hAnsi="宋体" w:cs="宋体"/>
                <w:b w:val="0"/>
                <w:i w:val="0"/>
                <w:color w:val="000000"/>
                <w:sz w:val="14"/>
              </w:rPr>
              <w:t xml:space="preserve">474.17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1,423.80</w:t>
            </w:r>
          </w:p>
        </w:tc>
        <w:tc>
          <w:tcPr>
            <w:tcW w:w="1060" w:type="dxa"/>
            <w:tcBorders/>
            <w:vAlign w:val="center"/>
          </w:tcPr>
          <w:p>
            <w:pPr>
              <w:jc w:val="right"/>
            </w:pPr>
            <w:r>
              <w:rPr>
                <w:rFonts w:ascii="宋体" w:eastAsia="宋体" w:hAnsi="宋体" w:cs="宋体"/>
                <w:b w:val="0"/>
                <w:i w:val="0"/>
                <w:color w:val="000000"/>
                <w:sz w:val="14"/>
              </w:rPr>
              <w:t xml:space="preserve">1,007.93</w:t>
            </w:r>
          </w:p>
        </w:tc>
        <w:tc>
          <w:tcPr>
            <w:tcW w:w="1060" w:type="dxa"/>
            <w:tcBorders/>
            <w:vAlign w:val="center"/>
          </w:tcPr>
          <w:p>
            <w:pPr>
              <w:jc w:val="right"/>
            </w:pPr>
            <w:r>
              <w:rPr>
                <w:rFonts w:ascii="宋体" w:eastAsia="宋体" w:hAnsi="宋体" w:cs="宋体"/>
                <w:b w:val="0"/>
                <w:i w:val="0"/>
                <w:color w:val="000000"/>
                <w:sz w:val="14"/>
              </w:rPr>
              <w:t xml:space="preserve">415.87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203.92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1,218.81</w:t>
            </w:r>
          </w:p>
        </w:tc>
        <w:tc>
          <w:tcPr>
            <w:tcW w:w="1060" w:type="dxa"/>
            <w:tcBorders/>
            <w:vAlign w:val="center"/>
          </w:tcPr>
          <w:p>
            <w:pPr>
              <w:jc w:val="right"/>
            </w:pPr>
            <w:r>
              <w:rPr>
                <w:rFonts w:ascii="宋体" w:eastAsia="宋体" w:hAnsi="宋体" w:cs="宋体"/>
                <w:b w:val="0"/>
                <w:i w:val="0"/>
                <w:color w:val="000000"/>
                <w:sz w:val="14"/>
              </w:rPr>
              <w:t xml:space="preserve">1,007.93</w:t>
            </w:r>
          </w:p>
        </w:tc>
        <w:tc>
          <w:tcPr>
            <w:tcW w:w="1060" w:type="dxa"/>
            <w:tcBorders/>
            <w:vAlign w:val="center"/>
          </w:tcPr>
          <w:p>
            <w:pPr>
              <w:jc w:val="right"/>
            </w:pPr>
            <w:r>
              <w:rPr>
                <w:rFonts w:ascii="宋体" w:eastAsia="宋体" w:hAnsi="宋体" w:cs="宋体"/>
                <w:b w:val="0"/>
                <w:i w:val="0"/>
                <w:color w:val="000000"/>
                <w:sz w:val="14"/>
              </w:rPr>
              <w:t xml:space="preserve">210.88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58.30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58.30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58.30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58.30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47.61</w:t>
            </w:r>
          </w:p>
        </w:tc>
        <w:tc>
          <w:tcPr>
            <w:tcW w:w="1060" w:type="dxa"/>
            <w:tcBorders/>
            <w:vAlign w:val="center"/>
          </w:tcPr>
          <w:p>
            <w:pPr>
              <w:jc w:val="right"/>
            </w:pPr>
            <w:r>
              <w:rPr>
                <w:rFonts w:ascii="宋体" w:eastAsia="宋体" w:hAnsi="宋体" w:cs="宋体"/>
                <w:b w:val="0"/>
                <w:i w:val="0"/>
                <w:color w:val="000000"/>
                <w:sz w:val="14"/>
              </w:rPr>
              <w:t xml:space="preserve">47.61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44.35</w:t>
            </w:r>
          </w:p>
        </w:tc>
        <w:tc>
          <w:tcPr>
            <w:tcW w:w="1060" w:type="dxa"/>
            <w:tcBorders/>
            <w:vAlign w:val="center"/>
          </w:tcPr>
          <w:p>
            <w:pPr>
              <w:jc w:val="right"/>
            </w:pPr>
            <w:r>
              <w:rPr>
                <w:rFonts w:ascii="宋体" w:eastAsia="宋体" w:hAnsi="宋体" w:cs="宋体"/>
                <w:b w:val="0"/>
                <w:i w:val="0"/>
                <w:color w:val="000000"/>
                <w:sz w:val="14"/>
              </w:rPr>
              <w:t xml:space="preserve">44.35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28.51</w:t>
            </w:r>
          </w:p>
        </w:tc>
        <w:tc>
          <w:tcPr>
            <w:tcW w:w="1060" w:type="dxa"/>
            <w:tcBorders/>
            <w:vAlign w:val="center"/>
          </w:tcPr>
          <w:p>
            <w:pPr>
              <w:jc w:val="right"/>
            </w:pPr>
            <w:r>
              <w:rPr>
                <w:rFonts w:ascii="宋体" w:eastAsia="宋体" w:hAnsi="宋体" w:cs="宋体"/>
                <w:b w:val="0"/>
                <w:i w:val="0"/>
                <w:color w:val="000000"/>
                <w:sz w:val="14"/>
              </w:rPr>
              <w:t xml:space="preserve">28.51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15.84</w:t>
            </w:r>
          </w:p>
        </w:tc>
        <w:tc>
          <w:tcPr>
            <w:tcW w:w="1060" w:type="dxa"/>
            <w:tcBorders/>
            <w:vAlign w:val="center"/>
          </w:tcPr>
          <w:p>
            <w:pPr>
              <w:jc w:val="right"/>
            </w:pPr>
            <w:r>
              <w:rPr>
                <w:rFonts w:ascii="宋体" w:eastAsia="宋体" w:hAnsi="宋体" w:cs="宋体"/>
                <w:b w:val="0"/>
                <w:i w:val="0"/>
                <w:color w:val="000000"/>
                <w:sz w:val="14"/>
              </w:rPr>
              <w:t xml:space="preserve">15.84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3.26</w:t>
            </w:r>
          </w:p>
        </w:tc>
        <w:tc>
          <w:tcPr>
            <w:tcW w:w="1060" w:type="dxa"/>
            <w:tcBorders/>
            <w:vAlign w:val="center"/>
          </w:tcPr>
          <w:p>
            <w:pPr>
              <w:jc w:val="right"/>
            </w:pPr>
            <w:r>
              <w:rPr>
                <w:rFonts w:ascii="宋体" w:eastAsia="宋体" w:hAnsi="宋体" w:cs="宋体"/>
                <w:b w:val="0"/>
                <w:i w:val="0"/>
                <w:color w:val="000000"/>
                <w:sz w:val="14"/>
              </w:rPr>
              <w:t xml:space="preserve">3.26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3.26</w:t>
            </w:r>
          </w:p>
        </w:tc>
        <w:tc>
          <w:tcPr>
            <w:tcW w:w="1060" w:type="dxa"/>
            <w:tcBorders/>
            <w:vAlign w:val="center"/>
          </w:tcPr>
          <w:p>
            <w:pPr>
              <w:jc w:val="right"/>
            </w:pPr>
            <w:r>
              <w:rPr>
                <w:rFonts w:ascii="宋体" w:eastAsia="宋体" w:hAnsi="宋体" w:cs="宋体"/>
                <w:b w:val="0"/>
                <w:i w:val="0"/>
                <w:color w:val="000000"/>
                <w:sz w:val="14"/>
              </w:rPr>
              <w:t xml:space="preserve">3.26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1,481.03</w:t>
            </w:r>
          </w:p>
        </w:tc>
        <w:tc>
          <w:tcPr>
            <w:tcW w:w="1100" w:type="dxa"/>
            <w:tcBorders/>
            <w:vAlign w:val="center"/>
          </w:tcPr>
          <w:p>
            <w:pPr>
              <w:jc w:val="right"/>
            </w:pPr>
            <w:r>
              <w:rPr>
                <w:rFonts w:ascii="宋体" w:eastAsia="宋体" w:hAnsi="宋体" w:cs="宋体"/>
                <w:b w:val="0"/>
                <w:i w:val="0"/>
                <w:color w:val="000000"/>
                <w:sz w:val="14"/>
              </w:rPr>
              <w:t xml:space="preserve">1,481.03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47.60</w:t>
            </w:r>
          </w:p>
        </w:tc>
        <w:tc>
          <w:tcPr>
            <w:tcW w:w="1100" w:type="dxa"/>
            <w:tcBorders/>
            <w:vAlign w:val="center"/>
          </w:tcPr>
          <w:p>
            <w:pPr>
              <w:jc w:val="right"/>
            </w:pPr>
            <w:r>
              <w:rPr>
                <w:rFonts w:ascii="宋体" w:eastAsia="宋体" w:hAnsi="宋体" w:cs="宋体"/>
                <w:b w:val="0"/>
                <w:i w:val="0"/>
                <w:color w:val="000000"/>
                <w:sz w:val="14"/>
              </w:rPr>
              <w:t xml:space="preserve">47.60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1100" w:type="dxa"/>
            <w:tcBorders/>
            <w:vAlign w:val="center"/>
          </w:tcPr>
          <w:p>
            <w:pPr>
              <w:jc w:val="right"/>
            </w:pPr>
            <w:r>
              <w:rPr>
                <w:rFonts w:ascii="宋体" w:eastAsia="宋体" w:hAnsi="宋体" w:cs="宋体"/>
                <w:b w:val="0"/>
                <w:i w:val="0"/>
                <w:color w:val="000000"/>
                <w:sz w:val="14"/>
              </w:rPr>
              <w:t xml:space="preserve">1,528.63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1,528.63</w:t>
            </w:r>
          </w:p>
        </w:tc>
        <w:tc>
          <w:tcPr>
            <w:tcW w:w="1780" w:type="dxa"/>
            <w:tcBorders/>
            <w:vAlign w:val="center"/>
          </w:tcPr>
          <w:p>
            <w:pPr>
              <w:jc w:val="right"/>
            </w:pPr>
            <w:r>
              <w:rPr>
                <w:rFonts w:ascii="宋体" w:eastAsia="宋体" w:hAnsi="宋体" w:cs="宋体"/>
                <w:b/>
                <w:i w:val="0"/>
                <w:color w:val="000000"/>
                <w:sz w:val="18"/>
              </w:rPr>
              <w:t xml:space="preserve">1,055.53</w:t>
            </w:r>
          </w:p>
        </w:tc>
        <w:tc>
          <w:tcPr>
            <w:tcW w:w="1772" w:type="dxa"/>
            <w:tcBorders/>
            <w:vAlign w:val="center"/>
          </w:tcPr>
          <w:p>
            <w:pPr>
              <w:jc w:val="right"/>
            </w:pPr>
            <w:r>
              <w:rPr>
                <w:rFonts w:ascii="宋体" w:eastAsia="宋体" w:hAnsi="宋体" w:cs="宋体"/>
                <w:b/>
                <w:i w:val="0"/>
                <w:color w:val="000000"/>
                <w:sz w:val="18"/>
              </w:rPr>
              <w:t xml:space="preserve">473.10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1,481.03</w:t>
            </w:r>
          </w:p>
        </w:tc>
        <w:tc>
          <w:tcPr>
            <w:tcW w:w="1780" w:type="dxa"/>
            <w:tcBorders/>
            <w:vAlign w:val="center"/>
          </w:tcPr>
          <w:p>
            <w:pPr>
              <w:jc w:val="right"/>
            </w:pPr>
            <w:r>
              <w:rPr>
                <w:rFonts w:ascii="宋体" w:eastAsia="宋体" w:hAnsi="宋体" w:cs="宋体"/>
                <w:b w:val="0"/>
                <w:i w:val="0"/>
                <w:color w:val="000000"/>
                <w:sz w:val="18"/>
              </w:rPr>
              <w:t xml:space="preserve">1,007.93</w:t>
            </w:r>
          </w:p>
        </w:tc>
        <w:tc>
          <w:tcPr>
            <w:tcW w:w="1772" w:type="dxa"/>
            <w:tcBorders/>
            <w:vAlign w:val="center"/>
          </w:tcPr>
          <w:p>
            <w:pPr>
              <w:jc w:val="right"/>
            </w:pPr>
            <w:r>
              <w:rPr>
                <w:rFonts w:ascii="宋体" w:eastAsia="宋体" w:hAnsi="宋体" w:cs="宋体"/>
                <w:b w:val="0"/>
                <w:i w:val="0"/>
                <w:color w:val="000000"/>
                <w:sz w:val="18"/>
              </w:rPr>
              <w:t xml:space="preserve">473.10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1,422.73</w:t>
            </w:r>
          </w:p>
        </w:tc>
        <w:tc>
          <w:tcPr>
            <w:tcW w:w="1780" w:type="dxa"/>
            <w:tcBorders/>
            <w:vAlign w:val="center"/>
          </w:tcPr>
          <w:p>
            <w:pPr>
              <w:jc w:val="right"/>
            </w:pPr>
            <w:r>
              <w:rPr>
                <w:rFonts w:ascii="宋体" w:eastAsia="宋体" w:hAnsi="宋体" w:cs="宋体"/>
                <w:b w:val="0"/>
                <w:i w:val="0"/>
                <w:color w:val="000000"/>
                <w:sz w:val="18"/>
              </w:rPr>
              <w:t xml:space="preserve">1,007.93</w:t>
            </w:r>
          </w:p>
        </w:tc>
        <w:tc>
          <w:tcPr>
            <w:tcW w:w="1772" w:type="dxa"/>
            <w:tcBorders/>
            <w:vAlign w:val="center"/>
          </w:tcPr>
          <w:p>
            <w:pPr>
              <w:jc w:val="right"/>
            </w:pPr>
            <w:r>
              <w:rPr>
                <w:rFonts w:ascii="宋体" w:eastAsia="宋体" w:hAnsi="宋体" w:cs="宋体"/>
                <w:b w:val="0"/>
                <w:i w:val="0"/>
                <w:color w:val="000000"/>
                <w:sz w:val="18"/>
              </w:rPr>
              <w:t xml:space="preserve">414.80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203.92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1,218.81</w:t>
            </w:r>
          </w:p>
        </w:tc>
        <w:tc>
          <w:tcPr>
            <w:tcW w:w="1780" w:type="dxa"/>
            <w:tcBorders/>
            <w:vAlign w:val="center"/>
          </w:tcPr>
          <w:p>
            <w:pPr>
              <w:jc w:val="right"/>
            </w:pPr>
            <w:r>
              <w:rPr>
                <w:rFonts w:ascii="宋体" w:eastAsia="宋体" w:hAnsi="宋体" w:cs="宋体"/>
                <w:b w:val="0"/>
                <w:i w:val="0"/>
                <w:color w:val="000000"/>
                <w:sz w:val="18"/>
              </w:rPr>
              <w:t xml:space="preserve">1,007.93</w:t>
            </w:r>
          </w:p>
        </w:tc>
        <w:tc>
          <w:tcPr>
            <w:tcW w:w="1772" w:type="dxa"/>
            <w:tcBorders/>
            <w:vAlign w:val="center"/>
          </w:tcPr>
          <w:p>
            <w:pPr>
              <w:jc w:val="right"/>
            </w:pPr>
            <w:r>
              <w:rPr>
                <w:rFonts w:ascii="宋体" w:eastAsia="宋体" w:hAnsi="宋体" w:cs="宋体"/>
                <w:b w:val="0"/>
                <w:i w:val="0"/>
                <w:color w:val="000000"/>
                <w:sz w:val="18"/>
              </w:rPr>
              <w:t xml:space="preserve">210.88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58.30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58.30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58.30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58.30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47.61</w:t>
            </w:r>
          </w:p>
        </w:tc>
        <w:tc>
          <w:tcPr>
            <w:tcW w:w="1780" w:type="dxa"/>
            <w:tcBorders/>
            <w:vAlign w:val="center"/>
          </w:tcPr>
          <w:p>
            <w:pPr>
              <w:jc w:val="right"/>
            </w:pPr>
            <w:r>
              <w:rPr>
                <w:rFonts w:ascii="宋体" w:eastAsia="宋体" w:hAnsi="宋体" w:cs="宋体"/>
                <w:b w:val="0"/>
                <w:i w:val="0"/>
                <w:color w:val="000000"/>
                <w:sz w:val="18"/>
              </w:rPr>
              <w:t xml:space="preserve">47.61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44.35</w:t>
            </w:r>
          </w:p>
        </w:tc>
        <w:tc>
          <w:tcPr>
            <w:tcW w:w="1780" w:type="dxa"/>
            <w:tcBorders/>
            <w:vAlign w:val="center"/>
          </w:tcPr>
          <w:p>
            <w:pPr>
              <w:jc w:val="right"/>
            </w:pPr>
            <w:r>
              <w:rPr>
                <w:rFonts w:ascii="宋体" w:eastAsia="宋体" w:hAnsi="宋体" w:cs="宋体"/>
                <w:b w:val="0"/>
                <w:i w:val="0"/>
                <w:color w:val="000000"/>
                <w:sz w:val="18"/>
              </w:rPr>
              <w:t xml:space="preserve">44.35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28.51</w:t>
            </w:r>
          </w:p>
        </w:tc>
        <w:tc>
          <w:tcPr>
            <w:tcW w:w="1780" w:type="dxa"/>
            <w:tcBorders/>
            <w:vAlign w:val="center"/>
          </w:tcPr>
          <w:p>
            <w:pPr>
              <w:jc w:val="right"/>
            </w:pPr>
            <w:r>
              <w:rPr>
                <w:rFonts w:ascii="宋体" w:eastAsia="宋体" w:hAnsi="宋体" w:cs="宋体"/>
                <w:b w:val="0"/>
                <w:i w:val="0"/>
                <w:color w:val="000000"/>
                <w:sz w:val="18"/>
              </w:rPr>
              <w:t xml:space="preserve">28.51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15.84</w:t>
            </w:r>
          </w:p>
        </w:tc>
        <w:tc>
          <w:tcPr>
            <w:tcW w:w="1780" w:type="dxa"/>
            <w:tcBorders/>
            <w:vAlign w:val="center"/>
          </w:tcPr>
          <w:p>
            <w:pPr>
              <w:jc w:val="right"/>
            </w:pPr>
            <w:r>
              <w:rPr>
                <w:rFonts w:ascii="宋体" w:eastAsia="宋体" w:hAnsi="宋体" w:cs="宋体"/>
                <w:b w:val="0"/>
                <w:i w:val="0"/>
                <w:color w:val="000000"/>
                <w:sz w:val="18"/>
              </w:rPr>
              <w:t xml:space="preserve">15.84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3.26</w:t>
            </w:r>
          </w:p>
        </w:tc>
        <w:tc>
          <w:tcPr>
            <w:tcW w:w="1780" w:type="dxa"/>
            <w:tcBorders/>
            <w:vAlign w:val="center"/>
          </w:tcPr>
          <w:p>
            <w:pPr>
              <w:jc w:val="right"/>
            </w:pPr>
            <w:r>
              <w:rPr>
                <w:rFonts w:ascii="宋体" w:eastAsia="宋体" w:hAnsi="宋体" w:cs="宋体"/>
                <w:b w:val="0"/>
                <w:i w:val="0"/>
                <w:color w:val="000000"/>
                <w:sz w:val="18"/>
              </w:rPr>
              <w:t xml:space="preserve">3.26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3.26</w:t>
            </w:r>
          </w:p>
        </w:tc>
        <w:tc>
          <w:tcPr>
            <w:tcW w:w="1780" w:type="dxa"/>
            <w:tcBorders/>
            <w:vAlign w:val="center"/>
          </w:tcPr>
          <w:p>
            <w:pPr>
              <w:jc w:val="right"/>
            </w:pPr>
            <w:r>
              <w:rPr>
                <w:rFonts w:ascii="宋体" w:eastAsia="宋体" w:hAnsi="宋体" w:cs="宋体"/>
                <w:b w:val="0"/>
                <w:i w:val="0"/>
                <w:color w:val="000000"/>
                <w:sz w:val="18"/>
              </w:rPr>
              <w:t xml:space="preserve">3.26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1,008.16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10.32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413.00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1.61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119.16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32.58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9.73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224.61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131.77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15.84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56.33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5.13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0.73</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37.05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15.43</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13.13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3.26</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5.23</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7.07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1,045.21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10.32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单位：辽宁省沈阳市浑南区朝鲜族学校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保证了学校正常教育教学秩序。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充分发挥了工资的激励作用，有力促进义务教育的健康发展。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教育教学经费及时足额进行保障，解决教育教学中的问题。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保育教育费主要用于保障幼儿园各项工作的正常运转，完成日常保育教育工作任务及承担的行政工作任务等相关项目支出。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及时拨付了区聘教师的取暖补贴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保育教育费足额用在幼儿园的日常开支，保障了幼儿园的各项工作正常运转。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住宿生伙食补助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及时足额保障了寄宿制学校学生伙食补助经费。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023015沈阳市浑南区朝鲜族学校-210112000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1179.17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1179.17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按照预算有计划实行经费管理支出，解决刚需，保障基本民生。</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基本完成经费支出，解决刚需，保障了基本民生。</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有利于实现民族团结</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团结一致</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学校绿化覆盖率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完成教学改革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沈阳市浑南区朝鲜族学校-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足额及时的保障了义务教育家庭经济困难生生活补助经费。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