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辽宁省沈阳市浑南区第二初级中学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辽宁省沈阳市浑南区第二初级中学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辽宁省沈阳市浑南区第二初级中学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辽宁省沈阳市浑南区第二初级中学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辽宁省沈阳市浑南区第二初级中学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辽宁省沈阳市浑南区第二初级中学概况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财税方针、政策和有关法律、法规、规章及省有关要求，拟订市财税规划、政策和改革方案并组织实施。分析预测经济形势，提出运用财税政策实施宏观调控和综合平衡社会财力的建议。拟订和执行市与区、县（市）、开发区及企业的分配政策，完善鼓励公益事业发展的财税政策。</w:t>
        <w:br/>
        <w:t xml:space="preserve">    （二）起草本市财政、财务、会计管理的地方性法规和市政府规章草案，研究我市经济社会中的财税重大问题，围绕市委、市政府中心工作提出改进和完善政府管理、提高财政资金使用效益的建议。组织教育教学、科学研究活动，保证教育教学质量。维护教职工利益，保障教职工合法权益，以教职工和学生的人生幸福和生命质量作为重点。</w:t>
        <w:br/>
        <w:t xml:space="preserve">    （三）制定学校发展规划，并抓好组织实施和落实情况。</w:t>
        <w:br/>
        <w:t xml:space="preserve">    （四）科学管理、合理使用学校的设施和经费，并积极筹措办学资金，改善办学条件。</w:t>
        <w:br/>
        <w:t xml:space="preserve">    （五）依法接受各级教育行政部门的检查指导和人民群众的监督。</w:t>
        <w:br/>
        <w:t xml:space="preserve">    （六）财务管理方面：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辽宁省沈阳市浑南区第二初级中学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沈阳市浑南区第二初级中学是纳入浑南区教育局2024年部门决算编制范围的二级预算单位,本单位无下设机构。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1792.19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1771.33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98.84</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1771.33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17.45</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0.97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主要是区教育局专户拨入省事业单位考试费、高考考务费等收入。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3.41</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0.19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主要是教育事业发展捐赠款等。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增加41.86万元，增长2.39%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教师人数、学生人数相对增加，导致财政拨款收入增加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1790.95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1425.13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79.57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工资福利支出1394.18万元；商品和服务支出22.99万元；对个人和家庭的补助7.96万元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365.83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20.43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主要包括商品和服务支出361.33万元；对个人和家庭的补助1.58万元；资本性支出2.92万元等业务支出。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增加44.04万元，增长2.52%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学生人数增加，导致商品和服务支出增加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1.23</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主要是辽宁教育科研中青年骨干专项课题资助经费等原因形成的结余。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减少2.18万元，降低63.84%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已支付教育事业发展捐赠款</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1771.33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1425.13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346.20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增加90.88万元，增长5.41%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学生人数、教师人数增加导致公用经费增加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104.48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84.06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2024年度一般公共预算财政拨款支出1771.33万元。按支出功能分类科目分，包括：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1.教育支出1765.84万元，具体包括：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初中教育（项）1755.58万元,主要是工资福利支出1394.18万元，商品和服务支出357.36万元，对个人和家庭的补助4.04万元等支出，完成年初预算的104.28%，决算数与年初预算数存在差异的主要原因是完全按照预算执行，社会保障和就业支出中的保险部分在11月进行调整，导致决算数大于预算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10.26万元,主要是商品服务支出等支出，完成年初预算的147.41%，决算数与年初预算数存在差异的主要原因是2024年教育教学经费增多，导致决算数大于预算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2.社会保障和就业支出5.49万元，具体包括：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5.49万元,主要是对个人和家庭的补助等支出，完成年初预算的100.00%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无“三公”经费业务发生</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无因公出国（境）费</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无公务接待费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无公务接待费</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无公务用车购置及运行费</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无公务用车购置及运行费</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1425.13</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1402.14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22.99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2024年无机关运行项目</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具体而言，本年度我部门共组织对4个项目实施了绩效评价。从预算资金来源看，涉及一般公共预算的项目0个，涉及政府性基金预算的项目0个，涉及国有资本经营预算的项目0个。</w:t>
        <w:br/>
        <w:t xml:space="preserve">    上述评价工作共涉及财政资金1695.37万元。其中，一般公共预算资金0万元，占资金总额的0.00%；政府性基金预算资金0万元，占0.00%；国有资本经营预算资金0万元，占0.00%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5个；得分在80分（含）至90分、等级为“良”的项目有0个；得分在60分（含）至80分、等级为“中”的项目有0；得分在60分以下、等级为“差”的项目有0个。</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1,771.33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1,785.47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17.45</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5.49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1,788.77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1,790.95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3.41</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1.23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1,792.19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1,792.19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1,788.77</w:t>
            </w:r>
          </w:p>
        </w:tc>
        <w:tc>
          <w:tcPr>
            <w:tcW w:w="960" w:type="dxa"/>
            <w:tcBorders/>
            <w:vAlign w:val="center"/>
          </w:tcPr>
          <w:p>
            <w:pPr>
              <w:jc w:val="right"/>
            </w:pPr>
            <w:r>
              <w:rPr>
                <w:rFonts w:ascii="宋体" w:eastAsia="宋体" w:hAnsi="宋体" w:cs="宋体"/>
                <w:b/>
                <w:i w:val="0"/>
                <w:color w:val="000000"/>
                <w:sz w:val="13"/>
              </w:rPr>
              <w:t xml:space="preserve">1,771.33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17.45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1,783.29</w:t>
            </w:r>
          </w:p>
        </w:tc>
        <w:tc>
          <w:tcPr>
            <w:tcW w:w="960" w:type="dxa"/>
            <w:tcBorders/>
            <w:vAlign w:val="center"/>
          </w:tcPr>
          <w:p>
            <w:pPr>
              <w:jc w:val="right"/>
            </w:pPr>
            <w:r>
              <w:rPr>
                <w:rFonts w:ascii="宋体" w:eastAsia="宋体" w:hAnsi="宋体" w:cs="宋体"/>
                <w:b w:val="0"/>
                <w:i w:val="0"/>
                <w:color w:val="000000"/>
                <w:sz w:val="13"/>
              </w:rPr>
              <w:t xml:space="preserve">1,765.84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17.45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1,773.03</w:t>
            </w:r>
          </w:p>
        </w:tc>
        <w:tc>
          <w:tcPr>
            <w:tcW w:w="960" w:type="dxa"/>
            <w:tcBorders/>
            <w:vAlign w:val="center"/>
          </w:tcPr>
          <w:p>
            <w:pPr>
              <w:jc w:val="right"/>
            </w:pPr>
            <w:r>
              <w:rPr>
                <w:rFonts w:ascii="宋体" w:eastAsia="宋体" w:hAnsi="宋体" w:cs="宋体"/>
                <w:b w:val="0"/>
                <w:i w:val="0"/>
                <w:color w:val="000000"/>
                <w:sz w:val="13"/>
              </w:rPr>
              <w:t xml:space="preserve">1,755.58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17.45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2050203</w:t>
            </w:r>
          </w:p>
        </w:tc>
        <w:tc>
          <w:tcPr>
            <w:tcW w:w="3200" w:type="dxa"/>
            <w:tcBorders/>
            <w:vAlign w:val="center"/>
          </w:tcPr>
          <w:p>
            <w:pPr>
              <w:jc w:val="left"/>
            </w:pPr>
            <w:r>
              <w:rPr>
                <w:rFonts w:ascii="宋体" w:eastAsia="宋体" w:hAnsi="宋体" w:cs="宋体"/>
                <w:b w:val="0"/>
                <w:i w:val="0"/>
                <w:color w:val="000000"/>
                <w:sz w:val="13"/>
              </w:rPr>
              <w:t xml:space="preserve">初中教育</w:t>
            </w:r>
          </w:p>
        </w:tc>
        <w:tc>
          <w:tcPr>
            <w:tcW w:w="960" w:type="dxa"/>
            <w:tcBorders/>
            <w:vAlign w:val="center"/>
          </w:tcPr>
          <w:p>
            <w:pPr>
              <w:jc w:val="right"/>
            </w:pPr>
            <w:r>
              <w:rPr>
                <w:rFonts w:ascii="宋体" w:eastAsia="宋体" w:hAnsi="宋体" w:cs="宋体"/>
                <w:b w:val="0"/>
                <w:i w:val="0"/>
                <w:color w:val="000000"/>
                <w:sz w:val="13"/>
              </w:rPr>
              <w:t xml:space="preserve">1,755.58</w:t>
            </w:r>
          </w:p>
        </w:tc>
        <w:tc>
          <w:tcPr>
            <w:tcW w:w="960" w:type="dxa"/>
            <w:tcBorders/>
            <w:vAlign w:val="center"/>
          </w:tcPr>
          <w:p>
            <w:pPr>
              <w:jc w:val="right"/>
            </w:pPr>
            <w:r>
              <w:rPr>
                <w:rFonts w:ascii="宋体" w:eastAsia="宋体" w:hAnsi="宋体" w:cs="宋体"/>
                <w:b w:val="0"/>
                <w:i w:val="0"/>
                <w:color w:val="000000"/>
                <w:sz w:val="13"/>
              </w:rPr>
              <w:t xml:space="preserve">1,755.58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17.45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17.45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10.26</w:t>
            </w:r>
          </w:p>
        </w:tc>
        <w:tc>
          <w:tcPr>
            <w:tcW w:w="960" w:type="dxa"/>
            <w:tcBorders/>
            <w:vAlign w:val="center"/>
          </w:tcPr>
          <w:p>
            <w:pPr>
              <w:jc w:val="right"/>
            </w:pPr>
            <w:r>
              <w:rPr>
                <w:rFonts w:ascii="宋体" w:eastAsia="宋体" w:hAnsi="宋体" w:cs="宋体"/>
                <w:b w:val="0"/>
                <w:i w:val="0"/>
                <w:color w:val="000000"/>
                <w:sz w:val="13"/>
              </w:rPr>
              <w:t xml:space="preserve">10.26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10.26</w:t>
            </w:r>
          </w:p>
        </w:tc>
        <w:tc>
          <w:tcPr>
            <w:tcW w:w="960" w:type="dxa"/>
            <w:tcBorders/>
            <w:vAlign w:val="center"/>
          </w:tcPr>
          <w:p>
            <w:pPr>
              <w:jc w:val="right"/>
            </w:pPr>
            <w:r>
              <w:rPr>
                <w:rFonts w:ascii="宋体" w:eastAsia="宋体" w:hAnsi="宋体" w:cs="宋体"/>
                <w:b w:val="0"/>
                <w:i w:val="0"/>
                <w:color w:val="000000"/>
                <w:sz w:val="13"/>
              </w:rPr>
              <w:t xml:space="preserve">10.26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5.49</w:t>
            </w:r>
          </w:p>
        </w:tc>
        <w:tc>
          <w:tcPr>
            <w:tcW w:w="960" w:type="dxa"/>
            <w:tcBorders/>
            <w:vAlign w:val="center"/>
          </w:tcPr>
          <w:p>
            <w:pPr>
              <w:jc w:val="right"/>
            </w:pPr>
            <w:r>
              <w:rPr>
                <w:rFonts w:ascii="宋体" w:eastAsia="宋体" w:hAnsi="宋体" w:cs="宋体"/>
                <w:b w:val="0"/>
                <w:i w:val="0"/>
                <w:color w:val="000000"/>
                <w:sz w:val="13"/>
              </w:rPr>
              <w:t xml:space="preserve">5.49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5.49</w:t>
            </w:r>
          </w:p>
        </w:tc>
        <w:tc>
          <w:tcPr>
            <w:tcW w:w="960" w:type="dxa"/>
            <w:tcBorders/>
            <w:vAlign w:val="center"/>
          </w:tcPr>
          <w:p>
            <w:pPr>
              <w:jc w:val="right"/>
            </w:pPr>
            <w:r>
              <w:rPr>
                <w:rFonts w:ascii="宋体" w:eastAsia="宋体" w:hAnsi="宋体" w:cs="宋体"/>
                <w:b w:val="0"/>
                <w:i w:val="0"/>
                <w:color w:val="000000"/>
                <w:sz w:val="13"/>
              </w:rPr>
              <w:t xml:space="preserve">5.49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5.49</w:t>
            </w:r>
          </w:p>
        </w:tc>
        <w:tc>
          <w:tcPr>
            <w:tcW w:w="960" w:type="dxa"/>
            <w:tcBorders/>
            <w:vAlign w:val="center"/>
          </w:tcPr>
          <w:p>
            <w:pPr>
              <w:jc w:val="right"/>
            </w:pPr>
            <w:r>
              <w:rPr>
                <w:rFonts w:ascii="宋体" w:eastAsia="宋体" w:hAnsi="宋体" w:cs="宋体"/>
                <w:b w:val="0"/>
                <w:i w:val="0"/>
                <w:color w:val="000000"/>
                <w:sz w:val="13"/>
              </w:rPr>
              <w:t xml:space="preserve">5.49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1,790.95</w:t>
            </w:r>
          </w:p>
        </w:tc>
        <w:tc>
          <w:tcPr>
            <w:tcW w:w="1060" w:type="dxa"/>
            <w:tcBorders/>
            <w:vAlign w:val="center"/>
          </w:tcPr>
          <w:p>
            <w:pPr>
              <w:jc w:val="right"/>
            </w:pPr>
            <w:r>
              <w:rPr>
                <w:rFonts w:ascii="宋体" w:eastAsia="宋体" w:hAnsi="宋体" w:cs="宋体"/>
                <w:b/>
                <w:i w:val="0"/>
                <w:color w:val="000000"/>
                <w:sz w:val="14"/>
              </w:rPr>
              <w:t xml:space="preserve">1,425.13</w:t>
            </w:r>
          </w:p>
        </w:tc>
        <w:tc>
          <w:tcPr>
            <w:tcW w:w="1060" w:type="dxa"/>
            <w:tcBorders/>
            <w:vAlign w:val="center"/>
          </w:tcPr>
          <w:p>
            <w:pPr>
              <w:jc w:val="right"/>
            </w:pPr>
            <w:r>
              <w:rPr>
                <w:rFonts w:ascii="宋体" w:eastAsia="宋体" w:hAnsi="宋体" w:cs="宋体"/>
                <w:b/>
                <w:i w:val="0"/>
                <w:color w:val="000000"/>
                <w:sz w:val="14"/>
              </w:rPr>
              <w:t xml:space="preserve">365.83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1,785.46</w:t>
            </w:r>
          </w:p>
        </w:tc>
        <w:tc>
          <w:tcPr>
            <w:tcW w:w="1060" w:type="dxa"/>
            <w:tcBorders/>
            <w:vAlign w:val="center"/>
          </w:tcPr>
          <w:p>
            <w:pPr>
              <w:jc w:val="right"/>
            </w:pPr>
            <w:r>
              <w:rPr>
                <w:rFonts w:ascii="宋体" w:eastAsia="宋体" w:hAnsi="宋体" w:cs="宋体"/>
                <w:b w:val="0"/>
                <w:i w:val="0"/>
                <w:color w:val="000000"/>
                <w:sz w:val="14"/>
              </w:rPr>
              <w:t xml:space="preserve">1,419.64</w:t>
            </w:r>
          </w:p>
        </w:tc>
        <w:tc>
          <w:tcPr>
            <w:tcW w:w="1060" w:type="dxa"/>
            <w:tcBorders/>
            <w:vAlign w:val="center"/>
          </w:tcPr>
          <w:p>
            <w:pPr>
              <w:jc w:val="right"/>
            </w:pPr>
            <w:r>
              <w:rPr>
                <w:rFonts w:ascii="宋体" w:eastAsia="宋体" w:hAnsi="宋体" w:cs="宋体"/>
                <w:b w:val="0"/>
                <w:i w:val="0"/>
                <w:color w:val="000000"/>
                <w:sz w:val="14"/>
              </w:rPr>
              <w:t xml:space="preserve">365.82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1,775.20</w:t>
            </w:r>
          </w:p>
        </w:tc>
        <w:tc>
          <w:tcPr>
            <w:tcW w:w="1060" w:type="dxa"/>
            <w:tcBorders/>
            <w:vAlign w:val="center"/>
          </w:tcPr>
          <w:p>
            <w:pPr>
              <w:jc w:val="right"/>
            </w:pPr>
            <w:r>
              <w:rPr>
                <w:rFonts w:ascii="宋体" w:eastAsia="宋体" w:hAnsi="宋体" w:cs="宋体"/>
                <w:b w:val="0"/>
                <w:i w:val="0"/>
                <w:color w:val="000000"/>
                <w:sz w:val="14"/>
              </w:rPr>
              <w:t xml:space="preserve">1,419.64</w:t>
            </w:r>
          </w:p>
        </w:tc>
        <w:tc>
          <w:tcPr>
            <w:tcW w:w="1060" w:type="dxa"/>
            <w:tcBorders/>
            <w:vAlign w:val="center"/>
          </w:tcPr>
          <w:p>
            <w:pPr>
              <w:jc w:val="right"/>
            </w:pPr>
            <w:r>
              <w:rPr>
                <w:rFonts w:ascii="宋体" w:eastAsia="宋体" w:hAnsi="宋体" w:cs="宋体"/>
                <w:b w:val="0"/>
                <w:i w:val="0"/>
                <w:color w:val="000000"/>
                <w:sz w:val="14"/>
              </w:rPr>
              <w:t xml:space="preserve">355.56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2050203</w:t>
            </w:r>
          </w:p>
        </w:tc>
        <w:tc>
          <w:tcPr>
            <w:tcW w:w="3440" w:type="dxa"/>
            <w:tcBorders/>
            <w:vAlign w:val="center"/>
          </w:tcPr>
          <w:p>
            <w:pPr>
              <w:jc w:val="left"/>
            </w:pPr>
            <w:r>
              <w:rPr>
                <w:rFonts w:ascii="宋体" w:eastAsia="宋体" w:hAnsi="宋体" w:cs="宋体"/>
                <w:b w:val="0"/>
                <w:i w:val="0"/>
                <w:color w:val="000000"/>
                <w:sz w:val="14"/>
              </w:rPr>
              <w:t xml:space="preserve">初中教育</w:t>
            </w:r>
          </w:p>
        </w:tc>
        <w:tc>
          <w:tcPr>
            <w:tcW w:w="1060" w:type="dxa"/>
            <w:tcBorders/>
            <w:vAlign w:val="center"/>
          </w:tcPr>
          <w:p>
            <w:pPr>
              <w:jc w:val="right"/>
            </w:pPr>
            <w:r>
              <w:rPr>
                <w:rFonts w:ascii="宋体" w:eastAsia="宋体" w:hAnsi="宋体" w:cs="宋体"/>
                <w:b w:val="0"/>
                <w:i w:val="0"/>
                <w:color w:val="000000"/>
                <w:sz w:val="14"/>
              </w:rPr>
              <w:t xml:space="preserve">1,755.58</w:t>
            </w:r>
          </w:p>
        </w:tc>
        <w:tc>
          <w:tcPr>
            <w:tcW w:w="1060" w:type="dxa"/>
            <w:tcBorders/>
            <w:vAlign w:val="center"/>
          </w:tcPr>
          <w:p>
            <w:pPr>
              <w:jc w:val="right"/>
            </w:pPr>
            <w:r>
              <w:rPr>
                <w:rFonts w:ascii="宋体" w:eastAsia="宋体" w:hAnsi="宋体" w:cs="宋体"/>
                <w:b w:val="0"/>
                <w:i w:val="0"/>
                <w:color w:val="000000"/>
                <w:sz w:val="14"/>
              </w:rPr>
              <w:t xml:space="preserve">1,419.64</w:t>
            </w:r>
          </w:p>
        </w:tc>
        <w:tc>
          <w:tcPr>
            <w:tcW w:w="1060" w:type="dxa"/>
            <w:tcBorders/>
            <w:vAlign w:val="center"/>
          </w:tcPr>
          <w:p>
            <w:pPr>
              <w:jc w:val="right"/>
            </w:pPr>
            <w:r>
              <w:rPr>
                <w:rFonts w:ascii="宋体" w:eastAsia="宋体" w:hAnsi="宋体" w:cs="宋体"/>
                <w:b w:val="0"/>
                <w:i w:val="0"/>
                <w:color w:val="000000"/>
                <w:sz w:val="14"/>
              </w:rPr>
              <w:t xml:space="preserve">335.94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19.62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19.62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10.26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10.26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10.26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10.26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5.49</w:t>
            </w:r>
          </w:p>
        </w:tc>
        <w:tc>
          <w:tcPr>
            <w:tcW w:w="1060" w:type="dxa"/>
            <w:tcBorders/>
            <w:vAlign w:val="center"/>
          </w:tcPr>
          <w:p>
            <w:pPr>
              <w:jc w:val="right"/>
            </w:pPr>
            <w:r>
              <w:rPr>
                <w:rFonts w:ascii="宋体" w:eastAsia="宋体" w:hAnsi="宋体" w:cs="宋体"/>
                <w:b w:val="0"/>
                <w:i w:val="0"/>
                <w:color w:val="000000"/>
                <w:sz w:val="14"/>
              </w:rPr>
              <w:t xml:space="preserve">5.49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5.49</w:t>
            </w:r>
          </w:p>
        </w:tc>
        <w:tc>
          <w:tcPr>
            <w:tcW w:w="1060" w:type="dxa"/>
            <w:tcBorders/>
            <w:vAlign w:val="center"/>
          </w:tcPr>
          <w:p>
            <w:pPr>
              <w:jc w:val="right"/>
            </w:pPr>
            <w:r>
              <w:rPr>
                <w:rFonts w:ascii="宋体" w:eastAsia="宋体" w:hAnsi="宋体" w:cs="宋体"/>
                <w:b w:val="0"/>
                <w:i w:val="0"/>
                <w:color w:val="000000"/>
                <w:sz w:val="14"/>
              </w:rPr>
              <w:t xml:space="preserve">5.49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5.49</w:t>
            </w:r>
          </w:p>
        </w:tc>
        <w:tc>
          <w:tcPr>
            <w:tcW w:w="1060" w:type="dxa"/>
            <w:tcBorders/>
            <w:vAlign w:val="center"/>
          </w:tcPr>
          <w:p>
            <w:pPr>
              <w:jc w:val="right"/>
            </w:pPr>
            <w:r>
              <w:rPr>
                <w:rFonts w:ascii="宋体" w:eastAsia="宋体" w:hAnsi="宋体" w:cs="宋体"/>
                <w:b w:val="0"/>
                <w:i w:val="0"/>
                <w:color w:val="000000"/>
                <w:sz w:val="14"/>
              </w:rPr>
              <w:t xml:space="preserve">5.49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1,771.33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1,765.84</w:t>
            </w:r>
          </w:p>
        </w:tc>
        <w:tc>
          <w:tcPr>
            <w:tcW w:w="1100" w:type="dxa"/>
            <w:tcBorders/>
            <w:vAlign w:val="center"/>
          </w:tcPr>
          <w:p>
            <w:pPr>
              <w:jc w:val="right"/>
            </w:pPr>
            <w:r>
              <w:rPr>
                <w:rFonts w:ascii="宋体" w:eastAsia="宋体" w:hAnsi="宋体" w:cs="宋体"/>
                <w:b w:val="0"/>
                <w:i w:val="0"/>
                <w:color w:val="000000"/>
                <w:sz w:val="14"/>
              </w:rPr>
              <w:t xml:space="preserve">1,765.84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5.49</w:t>
            </w:r>
          </w:p>
        </w:tc>
        <w:tc>
          <w:tcPr>
            <w:tcW w:w="1100" w:type="dxa"/>
            <w:tcBorders/>
            <w:vAlign w:val="center"/>
          </w:tcPr>
          <w:p>
            <w:pPr>
              <w:jc w:val="right"/>
            </w:pPr>
            <w:r>
              <w:rPr>
                <w:rFonts w:ascii="宋体" w:eastAsia="宋体" w:hAnsi="宋体" w:cs="宋体"/>
                <w:b w:val="0"/>
                <w:i w:val="0"/>
                <w:color w:val="000000"/>
                <w:sz w:val="14"/>
              </w:rPr>
              <w:t xml:space="preserve">5.49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1,771.33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1,771.33</w:t>
            </w:r>
          </w:p>
        </w:tc>
        <w:tc>
          <w:tcPr>
            <w:tcW w:w="1100" w:type="dxa"/>
            <w:tcBorders/>
            <w:vAlign w:val="center"/>
          </w:tcPr>
          <w:p>
            <w:pPr>
              <w:jc w:val="right"/>
            </w:pPr>
            <w:r>
              <w:rPr>
                <w:rFonts w:ascii="宋体" w:eastAsia="宋体" w:hAnsi="宋体" w:cs="宋体"/>
                <w:b w:val="0"/>
                <w:i w:val="0"/>
                <w:color w:val="000000"/>
                <w:sz w:val="14"/>
              </w:rPr>
              <w:t xml:space="preserve">1,771.33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1,771.33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1,771.33</w:t>
            </w:r>
          </w:p>
        </w:tc>
        <w:tc>
          <w:tcPr>
            <w:tcW w:w="1100" w:type="dxa"/>
            <w:tcBorders/>
            <w:vAlign w:val="center"/>
          </w:tcPr>
          <w:p>
            <w:pPr>
              <w:jc w:val="right"/>
            </w:pPr>
            <w:r>
              <w:rPr>
                <w:rFonts w:ascii="宋体" w:eastAsia="宋体" w:hAnsi="宋体" w:cs="宋体"/>
                <w:b w:val="0"/>
                <w:i w:val="0"/>
                <w:color w:val="000000"/>
                <w:sz w:val="14"/>
              </w:rPr>
              <w:t xml:space="preserve">1,771.33</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1,771.33</w:t>
            </w:r>
          </w:p>
        </w:tc>
        <w:tc>
          <w:tcPr>
            <w:tcW w:w="1780" w:type="dxa"/>
            <w:tcBorders/>
            <w:vAlign w:val="center"/>
          </w:tcPr>
          <w:p>
            <w:pPr>
              <w:jc w:val="right"/>
            </w:pPr>
            <w:r>
              <w:rPr>
                <w:rFonts w:ascii="宋体" w:eastAsia="宋体" w:hAnsi="宋体" w:cs="宋体"/>
                <w:b/>
                <w:i w:val="0"/>
                <w:color w:val="000000"/>
                <w:sz w:val="18"/>
              </w:rPr>
              <w:t xml:space="preserve">1,425.13</w:t>
            </w:r>
          </w:p>
        </w:tc>
        <w:tc>
          <w:tcPr>
            <w:tcW w:w="1772" w:type="dxa"/>
            <w:tcBorders/>
            <w:vAlign w:val="center"/>
          </w:tcPr>
          <w:p>
            <w:pPr>
              <w:jc w:val="right"/>
            </w:pPr>
            <w:r>
              <w:rPr>
                <w:rFonts w:ascii="宋体" w:eastAsia="宋体" w:hAnsi="宋体" w:cs="宋体"/>
                <w:b/>
                <w:i w:val="0"/>
                <w:color w:val="000000"/>
                <w:sz w:val="18"/>
              </w:rPr>
              <w:t xml:space="preserve">346.20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1,765.84</w:t>
            </w:r>
          </w:p>
        </w:tc>
        <w:tc>
          <w:tcPr>
            <w:tcW w:w="1780" w:type="dxa"/>
            <w:tcBorders/>
            <w:vAlign w:val="center"/>
          </w:tcPr>
          <w:p>
            <w:pPr>
              <w:jc w:val="right"/>
            </w:pPr>
            <w:r>
              <w:rPr>
                <w:rFonts w:ascii="宋体" w:eastAsia="宋体" w:hAnsi="宋体" w:cs="宋体"/>
                <w:b w:val="0"/>
                <w:i w:val="0"/>
                <w:color w:val="000000"/>
                <w:sz w:val="18"/>
              </w:rPr>
              <w:t xml:space="preserve">1,419.64</w:t>
            </w:r>
          </w:p>
        </w:tc>
        <w:tc>
          <w:tcPr>
            <w:tcW w:w="1772" w:type="dxa"/>
            <w:tcBorders/>
            <w:vAlign w:val="center"/>
          </w:tcPr>
          <w:p>
            <w:pPr>
              <w:jc w:val="right"/>
            </w:pPr>
            <w:r>
              <w:rPr>
                <w:rFonts w:ascii="宋体" w:eastAsia="宋体" w:hAnsi="宋体" w:cs="宋体"/>
                <w:b w:val="0"/>
                <w:i w:val="0"/>
                <w:color w:val="000000"/>
                <w:sz w:val="18"/>
              </w:rPr>
              <w:t xml:space="preserve">346.20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1,755.58</w:t>
            </w:r>
          </w:p>
        </w:tc>
        <w:tc>
          <w:tcPr>
            <w:tcW w:w="1780" w:type="dxa"/>
            <w:tcBorders/>
            <w:vAlign w:val="center"/>
          </w:tcPr>
          <w:p>
            <w:pPr>
              <w:jc w:val="right"/>
            </w:pPr>
            <w:r>
              <w:rPr>
                <w:rFonts w:ascii="宋体" w:eastAsia="宋体" w:hAnsi="宋体" w:cs="宋体"/>
                <w:b w:val="0"/>
                <w:i w:val="0"/>
                <w:color w:val="000000"/>
                <w:sz w:val="18"/>
              </w:rPr>
              <w:t xml:space="preserve">1,419.64</w:t>
            </w:r>
          </w:p>
        </w:tc>
        <w:tc>
          <w:tcPr>
            <w:tcW w:w="1772" w:type="dxa"/>
            <w:tcBorders/>
            <w:vAlign w:val="center"/>
          </w:tcPr>
          <w:p>
            <w:pPr>
              <w:jc w:val="right"/>
            </w:pPr>
            <w:r>
              <w:rPr>
                <w:rFonts w:ascii="宋体" w:eastAsia="宋体" w:hAnsi="宋体" w:cs="宋体"/>
                <w:b w:val="0"/>
                <w:i w:val="0"/>
                <w:color w:val="000000"/>
                <w:sz w:val="18"/>
              </w:rPr>
              <w:t xml:space="preserve">335.94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2050203</w:t>
            </w:r>
          </w:p>
        </w:tc>
        <w:tc>
          <w:tcPr>
            <w:tcW w:w="4300" w:type="dxa"/>
            <w:tcBorders/>
            <w:vAlign w:val="center"/>
          </w:tcPr>
          <w:p>
            <w:pPr>
              <w:jc w:val="left"/>
            </w:pPr>
            <w:r>
              <w:rPr>
                <w:rFonts w:ascii="宋体" w:eastAsia="宋体" w:hAnsi="宋体" w:cs="宋体"/>
                <w:b w:val="0"/>
                <w:i w:val="0"/>
                <w:color w:val="000000"/>
                <w:sz w:val="18"/>
              </w:rPr>
              <w:t xml:space="preserve">初中教育</w:t>
            </w:r>
          </w:p>
        </w:tc>
        <w:tc>
          <w:tcPr>
            <w:tcW w:w="1780" w:type="dxa"/>
            <w:tcBorders/>
            <w:vAlign w:val="center"/>
          </w:tcPr>
          <w:p>
            <w:pPr>
              <w:jc w:val="right"/>
            </w:pPr>
            <w:r>
              <w:rPr>
                <w:rFonts w:ascii="宋体" w:eastAsia="宋体" w:hAnsi="宋体" w:cs="宋体"/>
                <w:b w:val="0"/>
                <w:i w:val="0"/>
                <w:color w:val="000000"/>
                <w:sz w:val="18"/>
              </w:rPr>
              <w:t xml:space="preserve">1,755.58</w:t>
            </w:r>
          </w:p>
        </w:tc>
        <w:tc>
          <w:tcPr>
            <w:tcW w:w="1780" w:type="dxa"/>
            <w:tcBorders/>
            <w:vAlign w:val="center"/>
          </w:tcPr>
          <w:p>
            <w:pPr>
              <w:jc w:val="right"/>
            </w:pPr>
            <w:r>
              <w:rPr>
                <w:rFonts w:ascii="宋体" w:eastAsia="宋体" w:hAnsi="宋体" w:cs="宋体"/>
                <w:b w:val="0"/>
                <w:i w:val="0"/>
                <w:color w:val="000000"/>
                <w:sz w:val="18"/>
              </w:rPr>
              <w:t xml:space="preserve">1,419.64</w:t>
            </w:r>
          </w:p>
        </w:tc>
        <w:tc>
          <w:tcPr>
            <w:tcW w:w="1772" w:type="dxa"/>
            <w:tcBorders/>
            <w:vAlign w:val="center"/>
          </w:tcPr>
          <w:p>
            <w:pPr>
              <w:jc w:val="right"/>
            </w:pPr>
            <w:r>
              <w:rPr>
                <w:rFonts w:ascii="宋体" w:eastAsia="宋体" w:hAnsi="宋体" w:cs="宋体"/>
                <w:b w:val="0"/>
                <w:i w:val="0"/>
                <w:color w:val="000000"/>
                <w:sz w:val="18"/>
              </w:rPr>
              <w:t xml:space="preserve">335.94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10.26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10.26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5.49</w:t>
            </w:r>
          </w:p>
        </w:tc>
        <w:tc>
          <w:tcPr>
            <w:tcW w:w="1780" w:type="dxa"/>
            <w:tcBorders/>
            <w:vAlign w:val="center"/>
          </w:tcPr>
          <w:p>
            <w:pPr>
              <w:jc w:val="right"/>
            </w:pPr>
            <w:r>
              <w:rPr>
                <w:rFonts w:ascii="宋体" w:eastAsia="宋体" w:hAnsi="宋体" w:cs="宋体"/>
                <w:b w:val="0"/>
                <w:i w:val="0"/>
                <w:color w:val="000000"/>
                <w:sz w:val="18"/>
              </w:rPr>
              <w:t xml:space="preserve">5.49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5.49</w:t>
            </w:r>
          </w:p>
        </w:tc>
        <w:tc>
          <w:tcPr>
            <w:tcW w:w="1780" w:type="dxa"/>
            <w:tcBorders/>
            <w:vAlign w:val="center"/>
          </w:tcPr>
          <w:p>
            <w:pPr>
              <w:jc w:val="right"/>
            </w:pPr>
            <w:r>
              <w:rPr>
                <w:rFonts w:ascii="宋体" w:eastAsia="宋体" w:hAnsi="宋体" w:cs="宋体"/>
                <w:b w:val="0"/>
                <w:i w:val="0"/>
                <w:color w:val="000000"/>
                <w:sz w:val="18"/>
              </w:rPr>
              <w:t xml:space="preserve">5.49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5.49</w:t>
            </w:r>
          </w:p>
        </w:tc>
        <w:tc>
          <w:tcPr>
            <w:tcW w:w="1780" w:type="dxa"/>
            <w:tcBorders/>
            <w:vAlign w:val="center"/>
          </w:tcPr>
          <w:p>
            <w:pPr>
              <w:jc w:val="right"/>
            </w:pPr>
            <w:r>
              <w:rPr>
                <w:rFonts w:ascii="宋体" w:eastAsia="宋体" w:hAnsi="宋体" w:cs="宋体"/>
                <w:b w:val="0"/>
                <w:i w:val="0"/>
                <w:color w:val="000000"/>
                <w:sz w:val="18"/>
              </w:rPr>
              <w:t xml:space="preserve">5.49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1,394.18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22.99</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546.40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3.87</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173.02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44.34</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15.74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336.47</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186.40</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0.01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78.90</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5.53</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12.91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0.68</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7.96</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0.73</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5.49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2.47</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11.41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0.22</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0.53</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1,402.14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22.99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023005沈阳市浑南区第二初级中学-210112000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1695.37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1695.37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1349.06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1349.05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11.58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11.58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提高教学质量，保障学校教学工作。贯彻中央财政工作财务工作的方针政策，履行职责过程中坚持和加强党对财政工作和金融工作的集中统一领导。</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绩效目标整体完成较好，根据年初预算安排，贯彻中央财政工作财务工作的方针政策，按时执行各项经费。</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教育培训参加人数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社会公众对教育事业发展满意度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建立高层次创新人才绩效激励机制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完成目标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人事制度改革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沈阳市浑南区第二初级中学-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绩效目标整体完成较好，根据预算安排，按时完成义务教育家庭经济困难学生生活补助资金。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沈阳市浑南区第二初级中学-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绩效目标整体完成较好，根据预算安排，按时完成教育局安排的项目资金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教育教学经费-2024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沈阳市浑南区第二初级中学-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绩效目标整体完成较好，根据预算安排，按时完成教育局安排的项目资金。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沈阳市浑南区第二初级中学-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145.53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145.53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绩效目标整体完成较好，根据预算安排，按时完成教育局安排的项目资金。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沈阳市浑南区第二初级中学-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绩效目标整体完成较好，根据预算安排，按时完成教育局安排的项目资金。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