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辽宁省沈阳市浑南区第二小学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辽宁省沈阳市浑南区第二小学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辽宁省沈阳市浑南区第二小学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辽宁省沈阳市浑南区第二小学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辽宁省沈阳市浑南区第二小学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辽宁省沈阳市浑南区第二小学概况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辽宁省沈阳市浑南区第二小学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沈阳市浑南区第二小学是纳入浑南区教育局2024年部门决算编制范围的二级预算单位，本单位无下设机构。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2224.44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2214.48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99.55</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2214.48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1.27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主要是区教育局专户拨入学生储物柜、考务费资金等收入。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8.69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主要是餐饮公司返还的水电费原因形成的结余等。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增加160.18万元，增长7.76%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学生人数增加，生均经费有所增加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2220.77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1757.78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79.15</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工资福利支出1717.98万元；商品和服务支出39.80万元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462.99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20.85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主要包括修缮学校等业务支出。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增加165.20万元，增长8.04%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公用经费与人员经费均增加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3.67</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主要是餐饮公司返还的水电费等原因形成的结余。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减少5.02万元，降低57.77%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缴纳水电费等</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2214.48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1757.78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456.70</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增加289.62万元，增长15.05%</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校址老旧，修缮学校等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95.38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75.71</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2024年度一般公共预算财政拨款支出2214.48万元。按支出功能分类科目分，包括：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1.教育支出2214.48万元，具体包括：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小学教育（项）2214.48万元,主要是工资福利，商品和服务，对个人和家庭的补助，资本性资金等支出，完成年初预算的100%，决算数与年初预算数存在差异的主要原因是完全按照预算执行，决算数与预算实际上无任何差异，此项教育支出中包含社会保障和就业支出中的保险部分。。</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学校无此费用</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学校无此费用</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学校无此费用</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学校无此费用</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学校无此费用</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学校无此费用</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学校无此费用</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1757.78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1717.98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39.80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学校无此费用</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具体而言，本年度我部门共组织对4个项目实施了绩效评价。从预算资金来源看，涉及一般公共预算的项目4个，涉及政府性基金预算的项目0个，涉及国有资本经营预算的项目0个。</w:t>
        <w:br/>
        <w:t xml:space="preserve">    上述评价工作共涉及财政资金314.58万元。其中，一般公共预算资金314.58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4个；得分在80分（含）至90分、等级为“良”的项目有0个；得分在60分（含）至80分、等级为“中”的项目有0；得分在60分以下、等级为“差”的项目有0个。各项目自评发现，部分项目存在2个问题，如：预算执行进度较慢、个别效益指标未完全达成，已要求相关项目单位分析原因并制定改进措施。</w:t>
        <w:br/>
        <w:t xml:space="preserve">    3.部门重点评价情况及结果。</w:t>
        <w:br/>
        <w:t xml:space="preserve">    在全面自评的基础上，本部门选取了4个资金量大、社会关注度高、具有代表性的重点项目实施了部门重点评价。评价工作通过组建评价小组方式进行，确保了评价结果的客观性和公正性。</w:t>
        <w:br/>
        <w:t xml:space="preserve">    我部门组织对4个项目重点评价，结果显示，被评价项目整体绩效情况良好。其中：第一个重点项目为基本支出人员经费（刚性），涉及资金69.58万元，评价平均分为10分，评级情况为优（优、良等）；第二个重点项目为基本支出人员经费（保工资），涉及资金1648.4万元，评价平均分为10分，评级情况为优（优、良等）。同时，评价也发现3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2,214.48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2,220.77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1.27</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2,215.75</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2,220.77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8.69</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3.67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2,224.44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2,224.44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2,215.75</w:t>
            </w:r>
          </w:p>
        </w:tc>
        <w:tc>
          <w:tcPr>
            <w:tcW w:w="960" w:type="dxa"/>
            <w:tcBorders/>
            <w:vAlign w:val="center"/>
          </w:tcPr>
          <w:p>
            <w:pPr>
              <w:jc w:val="right"/>
            </w:pPr>
            <w:r>
              <w:rPr>
                <w:rFonts w:ascii="宋体" w:eastAsia="宋体" w:hAnsi="宋体" w:cs="宋体"/>
                <w:b/>
                <w:i w:val="0"/>
                <w:color w:val="000000"/>
                <w:sz w:val="13"/>
              </w:rPr>
              <w:t xml:space="preserve">2,214.48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1.27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2,215.75</w:t>
            </w:r>
          </w:p>
        </w:tc>
        <w:tc>
          <w:tcPr>
            <w:tcW w:w="960" w:type="dxa"/>
            <w:tcBorders/>
            <w:vAlign w:val="center"/>
          </w:tcPr>
          <w:p>
            <w:pPr>
              <w:jc w:val="right"/>
            </w:pPr>
            <w:r>
              <w:rPr>
                <w:rFonts w:ascii="宋体" w:eastAsia="宋体" w:hAnsi="宋体" w:cs="宋体"/>
                <w:b w:val="0"/>
                <w:i w:val="0"/>
                <w:color w:val="000000"/>
                <w:sz w:val="13"/>
              </w:rPr>
              <w:t xml:space="preserve">2,214.48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2,215.75</w:t>
            </w:r>
          </w:p>
        </w:tc>
        <w:tc>
          <w:tcPr>
            <w:tcW w:w="960" w:type="dxa"/>
            <w:tcBorders/>
            <w:vAlign w:val="center"/>
          </w:tcPr>
          <w:p>
            <w:pPr>
              <w:jc w:val="right"/>
            </w:pPr>
            <w:r>
              <w:rPr>
                <w:rFonts w:ascii="宋体" w:eastAsia="宋体" w:hAnsi="宋体" w:cs="宋体"/>
                <w:b w:val="0"/>
                <w:i w:val="0"/>
                <w:color w:val="000000"/>
                <w:sz w:val="13"/>
              </w:rPr>
              <w:t xml:space="preserve">2,214.48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2050202</w:t>
            </w:r>
          </w:p>
        </w:tc>
        <w:tc>
          <w:tcPr>
            <w:tcW w:w="3200" w:type="dxa"/>
            <w:tcBorders/>
            <w:vAlign w:val="center"/>
          </w:tcPr>
          <w:p>
            <w:pPr>
              <w:jc w:val="left"/>
            </w:pPr>
            <w:r>
              <w:rPr>
                <w:rFonts w:ascii="宋体" w:eastAsia="宋体" w:hAnsi="宋体" w:cs="宋体"/>
                <w:b w:val="0"/>
                <w:i w:val="0"/>
                <w:color w:val="000000"/>
                <w:sz w:val="13"/>
              </w:rPr>
              <w:t xml:space="preserve">小学教育</w:t>
            </w:r>
          </w:p>
        </w:tc>
        <w:tc>
          <w:tcPr>
            <w:tcW w:w="960" w:type="dxa"/>
            <w:tcBorders/>
            <w:vAlign w:val="center"/>
          </w:tcPr>
          <w:p>
            <w:pPr>
              <w:jc w:val="right"/>
            </w:pPr>
            <w:r>
              <w:rPr>
                <w:rFonts w:ascii="宋体" w:eastAsia="宋体" w:hAnsi="宋体" w:cs="宋体"/>
                <w:b w:val="0"/>
                <w:i w:val="0"/>
                <w:color w:val="000000"/>
                <w:sz w:val="13"/>
              </w:rPr>
              <w:t xml:space="preserve">2,214.48</w:t>
            </w:r>
          </w:p>
        </w:tc>
        <w:tc>
          <w:tcPr>
            <w:tcW w:w="960" w:type="dxa"/>
            <w:tcBorders/>
            <w:vAlign w:val="center"/>
          </w:tcPr>
          <w:p>
            <w:pPr>
              <w:jc w:val="right"/>
            </w:pPr>
            <w:r>
              <w:rPr>
                <w:rFonts w:ascii="宋体" w:eastAsia="宋体" w:hAnsi="宋体" w:cs="宋体"/>
                <w:b w:val="0"/>
                <w:i w:val="0"/>
                <w:color w:val="000000"/>
                <w:sz w:val="13"/>
              </w:rPr>
              <w:t xml:space="preserve">2,214.48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2050299</w:t>
            </w:r>
          </w:p>
        </w:tc>
        <w:tc>
          <w:tcPr>
            <w:tcW w:w="3200" w:type="dxa"/>
            <w:tcBorders/>
            <w:vAlign w:val="center"/>
          </w:tcPr>
          <w:p>
            <w:pPr>
              <w:jc w:val="left"/>
            </w:pPr>
            <w:r>
              <w:rPr>
                <w:rFonts w:ascii="宋体" w:eastAsia="宋体" w:hAnsi="宋体" w:cs="宋体"/>
                <w:b w:val="0"/>
                <w:i w:val="0"/>
                <w:color w:val="000000"/>
                <w:sz w:val="13"/>
              </w:rPr>
              <w:t xml:space="preserve">其他普通教育支出</w:t>
            </w:r>
          </w:p>
        </w:tc>
        <w:tc>
          <w:tcPr>
            <w:tcW w:w="960" w:type="dxa"/>
            <w:tcBorders/>
            <w:vAlign w:val="center"/>
          </w:tcPr>
          <w:p>
            <w:pPr>
              <w:jc w:val="right"/>
            </w:pPr>
            <w:r>
              <w:rPr>
                <w:rFonts w:ascii="宋体" w:eastAsia="宋体" w:hAnsi="宋体" w:cs="宋体"/>
                <w:b w:val="0"/>
                <w:i w:val="0"/>
                <w:color w:val="000000"/>
                <w:sz w:val="13"/>
              </w:rPr>
              <w:t xml:space="preserve">1.27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1.27</w:t>
            </w: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2,220.77</w:t>
            </w:r>
          </w:p>
        </w:tc>
        <w:tc>
          <w:tcPr>
            <w:tcW w:w="1060" w:type="dxa"/>
            <w:tcBorders/>
            <w:vAlign w:val="center"/>
          </w:tcPr>
          <w:p>
            <w:pPr>
              <w:jc w:val="right"/>
            </w:pPr>
            <w:r>
              <w:rPr>
                <w:rFonts w:ascii="宋体" w:eastAsia="宋体" w:hAnsi="宋体" w:cs="宋体"/>
                <w:b/>
                <w:i w:val="0"/>
                <w:color w:val="000000"/>
                <w:sz w:val="14"/>
              </w:rPr>
              <w:t xml:space="preserve">1,757.78</w:t>
            </w:r>
          </w:p>
        </w:tc>
        <w:tc>
          <w:tcPr>
            <w:tcW w:w="1060" w:type="dxa"/>
            <w:tcBorders/>
            <w:vAlign w:val="center"/>
          </w:tcPr>
          <w:p>
            <w:pPr>
              <w:jc w:val="right"/>
            </w:pPr>
            <w:r>
              <w:rPr>
                <w:rFonts w:ascii="宋体" w:eastAsia="宋体" w:hAnsi="宋体" w:cs="宋体"/>
                <w:b/>
                <w:i w:val="0"/>
                <w:color w:val="000000"/>
                <w:sz w:val="14"/>
              </w:rPr>
              <w:t xml:space="preserve">462.99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2,220.77</w:t>
            </w:r>
          </w:p>
        </w:tc>
        <w:tc>
          <w:tcPr>
            <w:tcW w:w="1060" w:type="dxa"/>
            <w:tcBorders/>
            <w:vAlign w:val="center"/>
          </w:tcPr>
          <w:p>
            <w:pPr>
              <w:jc w:val="right"/>
            </w:pPr>
            <w:r>
              <w:rPr>
                <w:rFonts w:ascii="宋体" w:eastAsia="宋体" w:hAnsi="宋体" w:cs="宋体"/>
                <w:b w:val="0"/>
                <w:i w:val="0"/>
                <w:color w:val="000000"/>
                <w:sz w:val="14"/>
              </w:rPr>
              <w:t xml:space="preserve">1,757.78</w:t>
            </w:r>
          </w:p>
        </w:tc>
        <w:tc>
          <w:tcPr>
            <w:tcW w:w="1060" w:type="dxa"/>
            <w:tcBorders/>
            <w:vAlign w:val="center"/>
          </w:tcPr>
          <w:p>
            <w:pPr>
              <w:jc w:val="right"/>
            </w:pPr>
            <w:r>
              <w:rPr>
                <w:rFonts w:ascii="宋体" w:eastAsia="宋体" w:hAnsi="宋体" w:cs="宋体"/>
                <w:b w:val="0"/>
                <w:i w:val="0"/>
                <w:color w:val="000000"/>
                <w:sz w:val="14"/>
              </w:rPr>
              <w:t xml:space="preserve">462.98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2,220.77</w:t>
            </w:r>
          </w:p>
        </w:tc>
        <w:tc>
          <w:tcPr>
            <w:tcW w:w="1060" w:type="dxa"/>
            <w:tcBorders/>
            <w:vAlign w:val="center"/>
          </w:tcPr>
          <w:p>
            <w:pPr>
              <w:jc w:val="right"/>
            </w:pPr>
            <w:r>
              <w:rPr>
                <w:rFonts w:ascii="宋体" w:eastAsia="宋体" w:hAnsi="宋体" w:cs="宋体"/>
                <w:b w:val="0"/>
                <w:i w:val="0"/>
                <w:color w:val="000000"/>
                <w:sz w:val="14"/>
              </w:rPr>
              <w:t xml:space="preserve">1,757.78</w:t>
            </w:r>
          </w:p>
        </w:tc>
        <w:tc>
          <w:tcPr>
            <w:tcW w:w="1060" w:type="dxa"/>
            <w:tcBorders/>
            <w:vAlign w:val="center"/>
          </w:tcPr>
          <w:p>
            <w:pPr>
              <w:jc w:val="right"/>
            </w:pPr>
            <w:r>
              <w:rPr>
                <w:rFonts w:ascii="宋体" w:eastAsia="宋体" w:hAnsi="宋体" w:cs="宋体"/>
                <w:b w:val="0"/>
                <w:i w:val="0"/>
                <w:color w:val="000000"/>
                <w:sz w:val="14"/>
              </w:rPr>
              <w:t xml:space="preserve">462.98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2050202</w:t>
            </w:r>
          </w:p>
        </w:tc>
        <w:tc>
          <w:tcPr>
            <w:tcW w:w="3440" w:type="dxa"/>
            <w:tcBorders/>
            <w:vAlign w:val="center"/>
          </w:tcPr>
          <w:p>
            <w:pPr>
              <w:jc w:val="left"/>
            </w:pPr>
            <w:r>
              <w:rPr>
                <w:rFonts w:ascii="宋体" w:eastAsia="宋体" w:hAnsi="宋体" w:cs="宋体"/>
                <w:b w:val="0"/>
                <w:i w:val="0"/>
                <w:color w:val="000000"/>
                <w:sz w:val="14"/>
              </w:rPr>
              <w:t xml:space="preserve">小学教育</w:t>
            </w:r>
          </w:p>
        </w:tc>
        <w:tc>
          <w:tcPr>
            <w:tcW w:w="1060" w:type="dxa"/>
            <w:tcBorders/>
            <w:vAlign w:val="center"/>
          </w:tcPr>
          <w:p>
            <w:pPr>
              <w:jc w:val="right"/>
            </w:pPr>
            <w:r>
              <w:rPr>
                <w:rFonts w:ascii="宋体" w:eastAsia="宋体" w:hAnsi="宋体" w:cs="宋体"/>
                <w:b w:val="0"/>
                <w:i w:val="0"/>
                <w:color w:val="000000"/>
                <w:sz w:val="14"/>
              </w:rPr>
              <w:t xml:space="preserve">2,215.20</w:t>
            </w:r>
          </w:p>
        </w:tc>
        <w:tc>
          <w:tcPr>
            <w:tcW w:w="1060" w:type="dxa"/>
            <w:tcBorders/>
            <w:vAlign w:val="center"/>
          </w:tcPr>
          <w:p>
            <w:pPr>
              <w:jc w:val="right"/>
            </w:pPr>
            <w:r>
              <w:rPr>
                <w:rFonts w:ascii="宋体" w:eastAsia="宋体" w:hAnsi="宋体" w:cs="宋体"/>
                <w:b w:val="0"/>
                <w:i w:val="0"/>
                <w:color w:val="000000"/>
                <w:sz w:val="14"/>
              </w:rPr>
              <w:t xml:space="preserve">1,757.78</w:t>
            </w:r>
          </w:p>
        </w:tc>
        <w:tc>
          <w:tcPr>
            <w:tcW w:w="1060" w:type="dxa"/>
            <w:tcBorders/>
            <w:vAlign w:val="center"/>
          </w:tcPr>
          <w:p>
            <w:pPr>
              <w:jc w:val="right"/>
            </w:pPr>
            <w:r>
              <w:rPr>
                <w:rFonts w:ascii="宋体" w:eastAsia="宋体" w:hAnsi="宋体" w:cs="宋体"/>
                <w:b w:val="0"/>
                <w:i w:val="0"/>
                <w:color w:val="000000"/>
                <w:sz w:val="14"/>
              </w:rPr>
              <w:t xml:space="preserve">457.41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5.57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1100" w:type="dxa"/>
            <w:tcBorders/>
            <w:vAlign w:val="center"/>
          </w:tcPr>
          <w:p>
            <w:pPr>
              <w:jc w:val="right"/>
            </w:pPr>
            <w:r>
              <w:rPr>
                <w:rFonts w:ascii="宋体" w:eastAsia="宋体" w:hAnsi="宋体" w:cs="宋体"/>
                <w:b w:val="0"/>
                <w:i w:val="0"/>
                <w:color w:val="000000"/>
                <w:sz w:val="14"/>
              </w:rPr>
              <w:t xml:space="preserve">2,214.48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2,214.48</w:t>
            </w:r>
          </w:p>
        </w:tc>
        <w:tc>
          <w:tcPr>
            <w:tcW w:w="1780" w:type="dxa"/>
            <w:tcBorders/>
            <w:vAlign w:val="center"/>
          </w:tcPr>
          <w:p>
            <w:pPr>
              <w:jc w:val="right"/>
            </w:pPr>
            <w:r>
              <w:rPr>
                <w:rFonts w:ascii="宋体" w:eastAsia="宋体" w:hAnsi="宋体" w:cs="宋体"/>
                <w:b/>
                <w:i w:val="0"/>
                <w:color w:val="000000"/>
                <w:sz w:val="18"/>
              </w:rPr>
              <w:t xml:space="preserve">1,757.78</w:t>
            </w:r>
          </w:p>
        </w:tc>
        <w:tc>
          <w:tcPr>
            <w:tcW w:w="1772" w:type="dxa"/>
            <w:tcBorders/>
            <w:vAlign w:val="center"/>
          </w:tcPr>
          <w:p>
            <w:pPr>
              <w:jc w:val="right"/>
            </w:pPr>
            <w:r>
              <w:rPr>
                <w:rFonts w:ascii="宋体" w:eastAsia="宋体" w:hAnsi="宋体" w:cs="宋体"/>
                <w:b/>
                <w:i w:val="0"/>
                <w:color w:val="000000"/>
                <w:sz w:val="18"/>
              </w:rPr>
              <w:t xml:space="preserve">456.70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2,214.48</w:t>
            </w:r>
          </w:p>
        </w:tc>
        <w:tc>
          <w:tcPr>
            <w:tcW w:w="1780" w:type="dxa"/>
            <w:tcBorders/>
            <w:vAlign w:val="center"/>
          </w:tcPr>
          <w:p>
            <w:pPr>
              <w:jc w:val="right"/>
            </w:pPr>
            <w:r>
              <w:rPr>
                <w:rFonts w:ascii="宋体" w:eastAsia="宋体" w:hAnsi="宋体" w:cs="宋体"/>
                <w:b w:val="0"/>
                <w:i w:val="0"/>
                <w:color w:val="000000"/>
                <w:sz w:val="18"/>
              </w:rPr>
              <w:t xml:space="preserve">1,757.78</w:t>
            </w:r>
          </w:p>
        </w:tc>
        <w:tc>
          <w:tcPr>
            <w:tcW w:w="1772" w:type="dxa"/>
            <w:tcBorders/>
            <w:vAlign w:val="center"/>
          </w:tcPr>
          <w:p>
            <w:pPr>
              <w:jc w:val="right"/>
            </w:pPr>
            <w:r>
              <w:rPr>
                <w:rFonts w:ascii="宋体" w:eastAsia="宋体" w:hAnsi="宋体" w:cs="宋体"/>
                <w:b w:val="0"/>
                <w:i w:val="0"/>
                <w:color w:val="000000"/>
                <w:sz w:val="18"/>
              </w:rPr>
              <w:t xml:space="preserve">456.70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2,214.48</w:t>
            </w:r>
          </w:p>
        </w:tc>
        <w:tc>
          <w:tcPr>
            <w:tcW w:w="1780" w:type="dxa"/>
            <w:tcBorders/>
            <w:vAlign w:val="center"/>
          </w:tcPr>
          <w:p>
            <w:pPr>
              <w:jc w:val="right"/>
            </w:pPr>
            <w:r>
              <w:rPr>
                <w:rFonts w:ascii="宋体" w:eastAsia="宋体" w:hAnsi="宋体" w:cs="宋体"/>
                <w:b w:val="0"/>
                <w:i w:val="0"/>
                <w:color w:val="000000"/>
                <w:sz w:val="18"/>
              </w:rPr>
              <w:t xml:space="preserve">1,757.78</w:t>
            </w:r>
          </w:p>
        </w:tc>
        <w:tc>
          <w:tcPr>
            <w:tcW w:w="1772" w:type="dxa"/>
            <w:tcBorders/>
            <w:vAlign w:val="center"/>
          </w:tcPr>
          <w:p>
            <w:pPr>
              <w:jc w:val="right"/>
            </w:pPr>
            <w:r>
              <w:rPr>
                <w:rFonts w:ascii="宋体" w:eastAsia="宋体" w:hAnsi="宋体" w:cs="宋体"/>
                <w:b w:val="0"/>
                <w:i w:val="0"/>
                <w:color w:val="000000"/>
                <w:sz w:val="18"/>
              </w:rPr>
              <w:t xml:space="preserve">456.70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2050202</w:t>
            </w:r>
          </w:p>
        </w:tc>
        <w:tc>
          <w:tcPr>
            <w:tcW w:w="4300" w:type="dxa"/>
            <w:tcBorders/>
            <w:vAlign w:val="center"/>
          </w:tcPr>
          <w:p>
            <w:pPr>
              <w:jc w:val="left"/>
            </w:pPr>
            <w:r>
              <w:rPr>
                <w:rFonts w:ascii="宋体" w:eastAsia="宋体" w:hAnsi="宋体" w:cs="宋体"/>
                <w:b w:val="0"/>
                <w:i w:val="0"/>
                <w:color w:val="000000"/>
                <w:sz w:val="18"/>
              </w:rPr>
              <w:t xml:space="preserve">小学教育</w:t>
            </w:r>
          </w:p>
        </w:tc>
        <w:tc>
          <w:tcPr>
            <w:tcW w:w="1780" w:type="dxa"/>
            <w:tcBorders/>
            <w:vAlign w:val="center"/>
          </w:tcPr>
          <w:p>
            <w:pPr>
              <w:jc w:val="right"/>
            </w:pPr>
            <w:r>
              <w:rPr>
                <w:rFonts w:ascii="宋体" w:eastAsia="宋体" w:hAnsi="宋体" w:cs="宋体"/>
                <w:b w:val="0"/>
                <w:i w:val="0"/>
                <w:color w:val="000000"/>
                <w:sz w:val="18"/>
              </w:rPr>
              <w:t xml:space="preserve">2,214.48</w:t>
            </w:r>
          </w:p>
        </w:tc>
        <w:tc>
          <w:tcPr>
            <w:tcW w:w="1780" w:type="dxa"/>
            <w:tcBorders/>
            <w:vAlign w:val="center"/>
          </w:tcPr>
          <w:p>
            <w:pPr>
              <w:jc w:val="right"/>
            </w:pPr>
            <w:r>
              <w:rPr>
                <w:rFonts w:ascii="宋体" w:eastAsia="宋体" w:hAnsi="宋体" w:cs="宋体"/>
                <w:b w:val="0"/>
                <w:i w:val="0"/>
                <w:color w:val="000000"/>
                <w:sz w:val="18"/>
              </w:rPr>
              <w:t xml:space="preserve">1,757.78</w:t>
            </w:r>
          </w:p>
        </w:tc>
        <w:tc>
          <w:tcPr>
            <w:tcW w:w="1772" w:type="dxa"/>
            <w:tcBorders/>
            <w:vAlign w:val="center"/>
          </w:tcPr>
          <w:p>
            <w:pPr>
              <w:jc w:val="right"/>
            </w:pPr>
            <w:r>
              <w:rPr>
                <w:rFonts w:ascii="宋体" w:eastAsia="宋体" w:hAnsi="宋体" w:cs="宋体"/>
                <w:b w:val="0"/>
                <w:i w:val="0"/>
                <w:color w:val="000000"/>
                <w:sz w:val="18"/>
              </w:rPr>
              <w:t xml:space="preserve">456.70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1,717.98</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39.80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630.33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6.98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225.79</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44.89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22.78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437.31</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233.56</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3.23</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118.25</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5.43</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5.07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2.14</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2.76</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0.24</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0.98</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18.03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0.02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1,717.98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39.80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单位：辽宁省沈阳市浑南区第二小学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023017沈阳市浑南区第二小学-210112000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2321.79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2321.79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69.58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1648.40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1648.39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18.03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18.03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保障人员经费等绩效目标实现</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保障人员经费等绩效目标实现</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举报移送立案率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经济效益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技术合同成交额</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亿元</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一级保护动植物增长量</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完成校企改革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校企改革</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综合网络配套服务</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配套服务</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IPTV活跃用户数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万人次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76.14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209.25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209.25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27.95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沈阳市浑南区第二小学-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