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辽宁省沈阳市浑南区第六初级中学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辽宁省沈阳市浑南区第六初级中学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辽宁省沈阳市浑南区第六初级中学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辽宁省沈阳市浑南区第六初级中学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辽宁省沈阳市浑南区第六初级中学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辽宁省沈阳市浑南区第六初级中学概况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我单位隶属于沈阳市浑南区教育局，为全额拨款的事业单位公办初级中学。我单位贯彻执行国家和省市区教育方针、政策，接收本地学区的小学毕业生，完成为期三年的初中义务教育教学任务，为上级学校及社会培养德智体美等方面合格的毕业生。在此过程中，我单位根据省市区财政部门的要求，拟订本单位财政预算报告，严格按照上级财务政策实施完成上级财政拨款的支出，形成本单位的部门决算。</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辽宁省沈阳市浑南区第六初级中学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沈阳市浑南区第六初级中学是纳入浑南区教育局2024年度决算编制范围的二级预算单位，本单位无下设机构。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731.61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729.98</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99.78</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729.98</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1.63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0.22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主要是2021年教育事业发展捐赠款等。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减少84.09万元，降低10.31%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生源变化，教育资源分配调整</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731.61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618.91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84.60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工资福利支出609.63万元；商品和服务支出9.01万元；对个人和家庭的补助0.27万元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112.70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15.40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主要包括城乡义务教育补助经费51.22万元、城乡义务教育补助公用经费42.38万元等业务支出。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减少82.46万元，降低10.13%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学生数减少导致生均经费相应减少，电采暖等项目支出减少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减少1.63万元，降低100.00%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上年度荡桨池项目质保金结余本年度验收合格后支付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729.98</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618.91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111.07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增加39.41万元，增长5.71%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教师人数增加，社保基数7月调整导致人员经费增加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104.21</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88.35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2024年度一般公共预算财政拨款支出729.98万元。按支出功能分类科目分，包括：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1.教育支出720.57万元，具体包括：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初中教育（项）720.57万元,主要是工资福利600.49万元、商品和服务119.93万元等支出，完成年初预算的103.2%，决算数与年初预算数存在差异的主要原因是完全按照预算执行，决算数与预算数基本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2.社会保障和就业支出9.40万元，具体包括：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0.27万元,主要是事业单位离退休等支出，完成年初预算的100%，决算数与年初预算数存在差异的主要原因是完全按照预算执行，决算数与预算数实际上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9.13万元,主要是机关事业单位职业年金缴费支出等支出，完成年初预算的100%，决算数与年初预算数存在差异的主要原因是年初未作此项目预算，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618.91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609.90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9.01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本单位无此支出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700.52万元。其中，一般公共预算资金700.52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0个；得分在60分（含）至80分、等级为“中”的项目有0个；得分在60分以下、等级为“差”的项目有0个。各项目自评发现，部分项目存在低效资金问题，下一步将采取以下措施加以改进：继续加强资金管理，发挥资金效益。</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16.教育支出（类）普通教育（款）中学教育（项）：反映各部门举办的中学教育支出。政府各部门对社会组织等举办的中学的资助，如捐赠、补贴等。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单位：辽宁省沈阳市浑南区第六初级中学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729.98</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722.20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9.41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729.98</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731.61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1.63</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731.61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731.61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单位：辽宁省沈阳市浑南区第六初级中学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729.98</w:t>
            </w:r>
          </w:p>
        </w:tc>
        <w:tc>
          <w:tcPr>
            <w:tcW w:w="960" w:type="dxa"/>
            <w:tcBorders/>
            <w:vAlign w:val="center"/>
          </w:tcPr>
          <w:p>
            <w:pPr>
              <w:jc w:val="right"/>
            </w:pPr>
            <w:r>
              <w:rPr>
                <w:rFonts w:ascii="宋体" w:eastAsia="宋体" w:hAnsi="宋体" w:cs="宋体"/>
                <w:b/>
                <w:i w:val="0"/>
                <w:color w:val="000000"/>
                <w:sz w:val="13"/>
              </w:rPr>
              <w:t xml:space="preserve">729.98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720.57</w:t>
            </w:r>
          </w:p>
        </w:tc>
        <w:tc>
          <w:tcPr>
            <w:tcW w:w="960" w:type="dxa"/>
            <w:tcBorders/>
            <w:vAlign w:val="center"/>
          </w:tcPr>
          <w:p>
            <w:pPr>
              <w:jc w:val="right"/>
            </w:pPr>
            <w:r>
              <w:rPr>
                <w:rFonts w:ascii="宋体" w:eastAsia="宋体" w:hAnsi="宋体" w:cs="宋体"/>
                <w:b w:val="0"/>
                <w:i w:val="0"/>
                <w:color w:val="000000"/>
                <w:sz w:val="13"/>
              </w:rPr>
              <w:t xml:space="preserve">720.57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720.57</w:t>
            </w:r>
          </w:p>
        </w:tc>
        <w:tc>
          <w:tcPr>
            <w:tcW w:w="960" w:type="dxa"/>
            <w:tcBorders/>
            <w:vAlign w:val="center"/>
          </w:tcPr>
          <w:p>
            <w:pPr>
              <w:jc w:val="right"/>
            </w:pPr>
            <w:r>
              <w:rPr>
                <w:rFonts w:ascii="宋体" w:eastAsia="宋体" w:hAnsi="宋体" w:cs="宋体"/>
                <w:b w:val="0"/>
                <w:i w:val="0"/>
                <w:color w:val="000000"/>
                <w:sz w:val="13"/>
              </w:rPr>
              <w:t xml:space="preserve">720.57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2050203</w:t>
            </w:r>
          </w:p>
        </w:tc>
        <w:tc>
          <w:tcPr>
            <w:tcW w:w="3200" w:type="dxa"/>
            <w:tcBorders/>
            <w:vAlign w:val="center"/>
          </w:tcPr>
          <w:p>
            <w:pPr>
              <w:jc w:val="left"/>
            </w:pPr>
            <w:r>
              <w:rPr>
                <w:rFonts w:ascii="宋体" w:eastAsia="宋体" w:hAnsi="宋体" w:cs="宋体"/>
                <w:b w:val="0"/>
                <w:i w:val="0"/>
                <w:color w:val="000000"/>
                <w:sz w:val="13"/>
              </w:rPr>
              <w:t xml:space="preserve">初中教育</w:t>
            </w:r>
          </w:p>
        </w:tc>
        <w:tc>
          <w:tcPr>
            <w:tcW w:w="960" w:type="dxa"/>
            <w:tcBorders/>
            <w:vAlign w:val="center"/>
          </w:tcPr>
          <w:p>
            <w:pPr>
              <w:jc w:val="right"/>
            </w:pPr>
            <w:r>
              <w:rPr>
                <w:rFonts w:ascii="宋体" w:eastAsia="宋体" w:hAnsi="宋体" w:cs="宋体"/>
                <w:b w:val="0"/>
                <w:i w:val="0"/>
                <w:color w:val="000000"/>
                <w:sz w:val="13"/>
              </w:rPr>
              <w:t xml:space="preserve">720.57</w:t>
            </w:r>
          </w:p>
        </w:tc>
        <w:tc>
          <w:tcPr>
            <w:tcW w:w="960" w:type="dxa"/>
            <w:tcBorders/>
            <w:vAlign w:val="center"/>
          </w:tcPr>
          <w:p>
            <w:pPr>
              <w:jc w:val="right"/>
            </w:pPr>
            <w:r>
              <w:rPr>
                <w:rFonts w:ascii="宋体" w:eastAsia="宋体" w:hAnsi="宋体" w:cs="宋体"/>
                <w:b w:val="0"/>
                <w:i w:val="0"/>
                <w:color w:val="000000"/>
                <w:sz w:val="13"/>
              </w:rPr>
              <w:t xml:space="preserve">720.57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9.40</w:t>
            </w:r>
          </w:p>
        </w:tc>
        <w:tc>
          <w:tcPr>
            <w:tcW w:w="960" w:type="dxa"/>
            <w:tcBorders/>
            <w:vAlign w:val="center"/>
          </w:tcPr>
          <w:p>
            <w:pPr>
              <w:jc w:val="right"/>
            </w:pPr>
            <w:r>
              <w:rPr>
                <w:rFonts w:ascii="宋体" w:eastAsia="宋体" w:hAnsi="宋体" w:cs="宋体"/>
                <w:b w:val="0"/>
                <w:i w:val="0"/>
                <w:color w:val="000000"/>
                <w:sz w:val="13"/>
              </w:rPr>
              <w:t xml:space="preserve">9.40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9.40</w:t>
            </w:r>
          </w:p>
        </w:tc>
        <w:tc>
          <w:tcPr>
            <w:tcW w:w="960" w:type="dxa"/>
            <w:tcBorders/>
            <w:vAlign w:val="center"/>
          </w:tcPr>
          <w:p>
            <w:pPr>
              <w:jc w:val="right"/>
            </w:pPr>
            <w:r>
              <w:rPr>
                <w:rFonts w:ascii="宋体" w:eastAsia="宋体" w:hAnsi="宋体" w:cs="宋体"/>
                <w:b w:val="0"/>
                <w:i w:val="0"/>
                <w:color w:val="000000"/>
                <w:sz w:val="13"/>
              </w:rPr>
              <w:t xml:space="preserve">9.40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9.13</w:t>
            </w:r>
          </w:p>
        </w:tc>
        <w:tc>
          <w:tcPr>
            <w:tcW w:w="960" w:type="dxa"/>
            <w:tcBorders/>
            <w:vAlign w:val="center"/>
          </w:tcPr>
          <w:p>
            <w:pPr>
              <w:jc w:val="right"/>
            </w:pPr>
            <w:r>
              <w:rPr>
                <w:rFonts w:ascii="宋体" w:eastAsia="宋体" w:hAnsi="宋体" w:cs="宋体"/>
                <w:b w:val="0"/>
                <w:i w:val="0"/>
                <w:color w:val="000000"/>
                <w:sz w:val="13"/>
              </w:rPr>
              <w:t xml:space="preserve">9.13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单位：辽宁省沈阳市浑南区第六初级中学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731.61</w:t>
            </w:r>
          </w:p>
        </w:tc>
        <w:tc>
          <w:tcPr>
            <w:tcW w:w="1060" w:type="dxa"/>
            <w:tcBorders/>
            <w:vAlign w:val="center"/>
          </w:tcPr>
          <w:p>
            <w:pPr>
              <w:jc w:val="right"/>
            </w:pPr>
            <w:r>
              <w:rPr>
                <w:rFonts w:ascii="宋体" w:eastAsia="宋体" w:hAnsi="宋体" w:cs="宋体"/>
                <w:b/>
                <w:i w:val="0"/>
                <w:color w:val="000000"/>
                <w:sz w:val="14"/>
              </w:rPr>
              <w:t xml:space="preserve">618.91</w:t>
            </w:r>
          </w:p>
        </w:tc>
        <w:tc>
          <w:tcPr>
            <w:tcW w:w="1060" w:type="dxa"/>
            <w:tcBorders/>
            <w:vAlign w:val="center"/>
          </w:tcPr>
          <w:p>
            <w:pPr>
              <w:jc w:val="right"/>
            </w:pPr>
            <w:r>
              <w:rPr>
                <w:rFonts w:ascii="宋体" w:eastAsia="宋体" w:hAnsi="宋体" w:cs="宋体"/>
                <w:b/>
                <w:i w:val="0"/>
                <w:color w:val="000000"/>
                <w:sz w:val="14"/>
              </w:rPr>
              <w:t xml:space="preserve">112.70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722.20</w:t>
            </w:r>
          </w:p>
        </w:tc>
        <w:tc>
          <w:tcPr>
            <w:tcW w:w="1060" w:type="dxa"/>
            <w:tcBorders/>
            <w:vAlign w:val="center"/>
          </w:tcPr>
          <w:p>
            <w:pPr>
              <w:jc w:val="right"/>
            </w:pPr>
            <w:r>
              <w:rPr>
                <w:rFonts w:ascii="宋体" w:eastAsia="宋体" w:hAnsi="宋体" w:cs="宋体"/>
                <w:b w:val="0"/>
                <w:i w:val="0"/>
                <w:color w:val="000000"/>
                <w:sz w:val="14"/>
              </w:rPr>
              <w:t xml:space="preserve">609.51</w:t>
            </w:r>
          </w:p>
        </w:tc>
        <w:tc>
          <w:tcPr>
            <w:tcW w:w="1060" w:type="dxa"/>
            <w:tcBorders/>
            <w:vAlign w:val="center"/>
          </w:tcPr>
          <w:p>
            <w:pPr>
              <w:jc w:val="right"/>
            </w:pPr>
            <w:r>
              <w:rPr>
                <w:rFonts w:ascii="宋体" w:eastAsia="宋体" w:hAnsi="宋体" w:cs="宋体"/>
                <w:b w:val="0"/>
                <w:i w:val="0"/>
                <w:color w:val="000000"/>
                <w:sz w:val="14"/>
              </w:rPr>
              <w:t xml:space="preserve">112.70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722.20</w:t>
            </w:r>
          </w:p>
        </w:tc>
        <w:tc>
          <w:tcPr>
            <w:tcW w:w="1060" w:type="dxa"/>
            <w:tcBorders/>
            <w:vAlign w:val="center"/>
          </w:tcPr>
          <w:p>
            <w:pPr>
              <w:jc w:val="right"/>
            </w:pPr>
            <w:r>
              <w:rPr>
                <w:rFonts w:ascii="宋体" w:eastAsia="宋体" w:hAnsi="宋体" w:cs="宋体"/>
                <w:b w:val="0"/>
                <w:i w:val="0"/>
                <w:color w:val="000000"/>
                <w:sz w:val="14"/>
              </w:rPr>
              <w:t xml:space="preserve">609.51</w:t>
            </w:r>
          </w:p>
        </w:tc>
        <w:tc>
          <w:tcPr>
            <w:tcW w:w="1060" w:type="dxa"/>
            <w:tcBorders/>
            <w:vAlign w:val="center"/>
          </w:tcPr>
          <w:p>
            <w:pPr>
              <w:jc w:val="right"/>
            </w:pPr>
            <w:r>
              <w:rPr>
                <w:rFonts w:ascii="宋体" w:eastAsia="宋体" w:hAnsi="宋体" w:cs="宋体"/>
                <w:b w:val="0"/>
                <w:i w:val="0"/>
                <w:color w:val="000000"/>
                <w:sz w:val="14"/>
              </w:rPr>
              <w:t xml:space="preserve">112.70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2050203</w:t>
            </w:r>
          </w:p>
        </w:tc>
        <w:tc>
          <w:tcPr>
            <w:tcW w:w="3440" w:type="dxa"/>
            <w:tcBorders/>
            <w:vAlign w:val="center"/>
          </w:tcPr>
          <w:p>
            <w:pPr>
              <w:jc w:val="left"/>
            </w:pPr>
            <w:r>
              <w:rPr>
                <w:rFonts w:ascii="宋体" w:eastAsia="宋体" w:hAnsi="宋体" w:cs="宋体"/>
                <w:b w:val="0"/>
                <w:i w:val="0"/>
                <w:color w:val="000000"/>
                <w:sz w:val="14"/>
              </w:rPr>
              <w:t xml:space="preserve">初中教育</w:t>
            </w:r>
          </w:p>
        </w:tc>
        <w:tc>
          <w:tcPr>
            <w:tcW w:w="1060" w:type="dxa"/>
            <w:tcBorders/>
            <w:vAlign w:val="center"/>
          </w:tcPr>
          <w:p>
            <w:pPr>
              <w:jc w:val="right"/>
            </w:pPr>
            <w:r>
              <w:rPr>
                <w:rFonts w:ascii="宋体" w:eastAsia="宋体" w:hAnsi="宋体" w:cs="宋体"/>
                <w:b w:val="0"/>
                <w:i w:val="0"/>
                <w:color w:val="000000"/>
                <w:sz w:val="14"/>
              </w:rPr>
              <w:t xml:space="preserve">720.57</w:t>
            </w:r>
          </w:p>
        </w:tc>
        <w:tc>
          <w:tcPr>
            <w:tcW w:w="1060" w:type="dxa"/>
            <w:tcBorders/>
            <w:vAlign w:val="center"/>
          </w:tcPr>
          <w:p>
            <w:pPr>
              <w:jc w:val="right"/>
            </w:pPr>
            <w:r>
              <w:rPr>
                <w:rFonts w:ascii="宋体" w:eastAsia="宋体" w:hAnsi="宋体" w:cs="宋体"/>
                <w:b w:val="0"/>
                <w:i w:val="0"/>
                <w:color w:val="000000"/>
                <w:sz w:val="14"/>
              </w:rPr>
              <w:t xml:space="preserve">609.51</w:t>
            </w:r>
          </w:p>
        </w:tc>
        <w:tc>
          <w:tcPr>
            <w:tcW w:w="1060" w:type="dxa"/>
            <w:tcBorders/>
            <w:vAlign w:val="center"/>
          </w:tcPr>
          <w:p>
            <w:pPr>
              <w:jc w:val="right"/>
            </w:pPr>
            <w:r>
              <w:rPr>
                <w:rFonts w:ascii="宋体" w:eastAsia="宋体" w:hAnsi="宋体" w:cs="宋体"/>
                <w:b w:val="0"/>
                <w:i w:val="0"/>
                <w:color w:val="000000"/>
                <w:sz w:val="14"/>
              </w:rPr>
              <w:t xml:space="preserve">111.07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1.63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9.40</w:t>
            </w:r>
          </w:p>
        </w:tc>
        <w:tc>
          <w:tcPr>
            <w:tcW w:w="1060" w:type="dxa"/>
            <w:tcBorders/>
            <w:vAlign w:val="center"/>
          </w:tcPr>
          <w:p>
            <w:pPr>
              <w:jc w:val="right"/>
            </w:pPr>
            <w:r>
              <w:rPr>
                <w:rFonts w:ascii="宋体" w:eastAsia="宋体" w:hAnsi="宋体" w:cs="宋体"/>
                <w:b w:val="0"/>
                <w:i w:val="0"/>
                <w:color w:val="000000"/>
                <w:sz w:val="14"/>
              </w:rPr>
              <w:t xml:space="preserve">9.40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9.40</w:t>
            </w:r>
          </w:p>
        </w:tc>
        <w:tc>
          <w:tcPr>
            <w:tcW w:w="1060" w:type="dxa"/>
            <w:tcBorders/>
            <w:vAlign w:val="center"/>
          </w:tcPr>
          <w:p>
            <w:pPr>
              <w:jc w:val="right"/>
            </w:pPr>
            <w:r>
              <w:rPr>
                <w:rFonts w:ascii="宋体" w:eastAsia="宋体" w:hAnsi="宋体" w:cs="宋体"/>
                <w:b w:val="0"/>
                <w:i w:val="0"/>
                <w:color w:val="000000"/>
                <w:sz w:val="14"/>
              </w:rPr>
              <w:t xml:space="preserve">9.40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9.13</w:t>
            </w:r>
          </w:p>
        </w:tc>
        <w:tc>
          <w:tcPr>
            <w:tcW w:w="1060" w:type="dxa"/>
            <w:tcBorders/>
            <w:vAlign w:val="center"/>
          </w:tcPr>
          <w:p>
            <w:pPr>
              <w:jc w:val="right"/>
            </w:pPr>
            <w:r>
              <w:rPr>
                <w:rFonts w:ascii="宋体" w:eastAsia="宋体" w:hAnsi="宋体" w:cs="宋体"/>
                <w:b w:val="0"/>
                <w:i w:val="0"/>
                <w:color w:val="000000"/>
                <w:sz w:val="14"/>
              </w:rPr>
              <w:t xml:space="preserve">9.13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单位：辽宁省沈阳市浑南区第六初级中学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729.98</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720.57</w:t>
            </w:r>
          </w:p>
        </w:tc>
        <w:tc>
          <w:tcPr>
            <w:tcW w:w="1100" w:type="dxa"/>
            <w:tcBorders/>
            <w:vAlign w:val="center"/>
          </w:tcPr>
          <w:p>
            <w:pPr>
              <w:jc w:val="right"/>
            </w:pPr>
            <w:r>
              <w:rPr>
                <w:rFonts w:ascii="宋体" w:eastAsia="宋体" w:hAnsi="宋体" w:cs="宋体"/>
                <w:b w:val="0"/>
                <w:i w:val="0"/>
                <w:color w:val="000000"/>
                <w:sz w:val="14"/>
              </w:rPr>
              <w:t xml:space="preserve">720.57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9.41</w:t>
            </w:r>
          </w:p>
        </w:tc>
        <w:tc>
          <w:tcPr>
            <w:tcW w:w="1100" w:type="dxa"/>
            <w:tcBorders/>
            <w:vAlign w:val="center"/>
          </w:tcPr>
          <w:p>
            <w:pPr>
              <w:jc w:val="right"/>
            </w:pPr>
            <w:r>
              <w:rPr>
                <w:rFonts w:ascii="宋体" w:eastAsia="宋体" w:hAnsi="宋体" w:cs="宋体"/>
                <w:b w:val="0"/>
                <w:i w:val="0"/>
                <w:color w:val="000000"/>
                <w:sz w:val="14"/>
              </w:rPr>
              <w:t xml:space="preserve">9.41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729.98</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729.98</w:t>
            </w:r>
          </w:p>
        </w:tc>
        <w:tc>
          <w:tcPr>
            <w:tcW w:w="1100" w:type="dxa"/>
            <w:tcBorders/>
            <w:vAlign w:val="center"/>
          </w:tcPr>
          <w:p>
            <w:pPr>
              <w:jc w:val="right"/>
            </w:pPr>
            <w:r>
              <w:rPr>
                <w:rFonts w:ascii="宋体" w:eastAsia="宋体" w:hAnsi="宋体" w:cs="宋体"/>
                <w:b w:val="0"/>
                <w:i w:val="0"/>
                <w:color w:val="000000"/>
                <w:sz w:val="14"/>
              </w:rPr>
              <w:t xml:space="preserve">729.98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729.98</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729.98</w:t>
            </w:r>
          </w:p>
        </w:tc>
        <w:tc>
          <w:tcPr>
            <w:tcW w:w="1100" w:type="dxa"/>
            <w:tcBorders/>
            <w:vAlign w:val="center"/>
          </w:tcPr>
          <w:p>
            <w:pPr>
              <w:jc w:val="right"/>
            </w:pPr>
            <w:r>
              <w:rPr>
                <w:rFonts w:ascii="宋体" w:eastAsia="宋体" w:hAnsi="宋体" w:cs="宋体"/>
                <w:b w:val="0"/>
                <w:i w:val="0"/>
                <w:color w:val="000000"/>
                <w:sz w:val="14"/>
              </w:rPr>
              <w:t xml:space="preserve">729.98</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单位：辽宁省沈阳市浑南区第六初级中学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729.98</w:t>
            </w:r>
          </w:p>
        </w:tc>
        <w:tc>
          <w:tcPr>
            <w:tcW w:w="1780" w:type="dxa"/>
            <w:tcBorders/>
            <w:vAlign w:val="center"/>
          </w:tcPr>
          <w:p>
            <w:pPr>
              <w:jc w:val="right"/>
            </w:pPr>
            <w:r>
              <w:rPr>
                <w:rFonts w:ascii="宋体" w:eastAsia="宋体" w:hAnsi="宋体" w:cs="宋体"/>
                <w:b/>
                <w:i w:val="0"/>
                <w:color w:val="000000"/>
                <w:sz w:val="18"/>
              </w:rPr>
              <w:t xml:space="preserve">618.91</w:t>
            </w:r>
          </w:p>
        </w:tc>
        <w:tc>
          <w:tcPr>
            <w:tcW w:w="1772" w:type="dxa"/>
            <w:tcBorders/>
            <w:vAlign w:val="center"/>
          </w:tcPr>
          <w:p>
            <w:pPr>
              <w:jc w:val="right"/>
            </w:pPr>
            <w:r>
              <w:rPr>
                <w:rFonts w:ascii="宋体" w:eastAsia="宋体" w:hAnsi="宋体" w:cs="宋体"/>
                <w:b/>
                <w:i w:val="0"/>
                <w:color w:val="000000"/>
                <w:sz w:val="18"/>
              </w:rPr>
              <w:t xml:space="preserve">111.07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720.57</w:t>
            </w:r>
          </w:p>
        </w:tc>
        <w:tc>
          <w:tcPr>
            <w:tcW w:w="1780" w:type="dxa"/>
            <w:tcBorders/>
            <w:vAlign w:val="center"/>
          </w:tcPr>
          <w:p>
            <w:pPr>
              <w:jc w:val="right"/>
            </w:pPr>
            <w:r>
              <w:rPr>
                <w:rFonts w:ascii="宋体" w:eastAsia="宋体" w:hAnsi="宋体" w:cs="宋体"/>
                <w:b w:val="0"/>
                <w:i w:val="0"/>
                <w:color w:val="000000"/>
                <w:sz w:val="18"/>
              </w:rPr>
              <w:t xml:space="preserve">609.51</w:t>
            </w:r>
          </w:p>
        </w:tc>
        <w:tc>
          <w:tcPr>
            <w:tcW w:w="1772" w:type="dxa"/>
            <w:tcBorders/>
            <w:vAlign w:val="center"/>
          </w:tcPr>
          <w:p>
            <w:pPr>
              <w:jc w:val="right"/>
            </w:pPr>
            <w:r>
              <w:rPr>
                <w:rFonts w:ascii="宋体" w:eastAsia="宋体" w:hAnsi="宋体" w:cs="宋体"/>
                <w:b w:val="0"/>
                <w:i w:val="0"/>
                <w:color w:val="000000"/>
                <w:sz w:val="18"/>
              </w:rPr>
              <w:t xml:space="preserve">111.07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720.57</w:t>
            </w:r>
          </w:p>
        </w:tc>
        <w:tc>
          <w:tcPr>
            <w:tcW w:w="1780" w:type="dxa"/>
            <w:tcBorders/>
            <w:vAlign w:val="center"/>
          </w:tcPr>
          <w:p>
            <w:pPr>
              <w:jc w:val="right"/>
            </w:pPr>
            <w:r>
              <w:rPr>
                <w:rFonts w:ascii="宋体" w:eastAsia="宋体" w:hAnsi="宋体" w:cs="宋体"/>
                <w:b w:val="0"/>
                <w:i w:val="0"/>
                <w:color w:val="000000"/>
                <w:sz w:val="18"/>
              </w:rPr>
              <w:t xml:space="preserve">609.51</w:t>
            </w:r>
          </w:p>
        </w:tc>
        <w:tc>
          <w:tcPr>
            <w:tcW w:w="1772" w:type="dxa"/>
            <w:tcBorders/>
            <w:vAlign w:val="center"/>
          </w:tcPr>
          <w:p>
            <w:pPr>
              <w:jc w:val="right"/>
            </w:pPr>
            <w:r>
              <w:rPr>
                <w:rFonts w:ascii="宋体" w:eastAsia="宋体" w:hAnsi="宋体" w:cs="宋体"/>
                <w:b w:val="0"/>
                <w:i w:val="0"/>
                <w:color w:val="000000"/>
                <w:sz w:val="18"/>
              </w:rPr>
              <w:t xml:space="preserve">111.07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2050203</w:t>
            </w:r>
          </w:p>
        </w:tc>
        <w:tc>
          <w:tcPr>
            <w:tcW w:w="4300" w:type="dxa"/>
            <w:tcBorders/>
            <w:vAlign w:val="center"/>
          </w:tcPr>
          <w:p>
            <w:pPr>
              <w:jc w:val="left"/>
            </w:pPr>
            <w:r>
              <w:rPr>
                <w:rFonts w:ascii="宋体" w:eastAsia="宋体" w:hAnsi="宋体" w:cs="宋体"/>
                <w:b w:val="0"/>
                <w:i w:val="0"/>
                <w:color w:val="000000"/>
                <w:sz w:val="18"/>
              </w:rPr>
              <w:t xml:space="preserve">初中教育</w:t>
            </w:r>
          </w:p>
        </w:tc>
        <w:tc>
          <w:tcPr>
            <w:tcW w:w="1780" w:type="dxa"/>
            <w:tcBorders/>
            <w:vAlign w:val="center"/>
          </w:tcPr>
          <w:p>
            <w:pPr>
              <w:jc w:val="right"/>
            </w:pPr>
            <w:r>
              <w:rPr>
                <w:rFonts w:ascii="宋体" w:eastAsia="宋体" w:hAnsi="宋体" w:cs="宋体"/>
                <w:b w:val="0"/>
                <w:i w:val="0"/>
                <w:color w:val="000000"/>
                <w:sz w:val="18"/>
              </w:rPr>
              <w:t xml:space="preserve">720.57</w:t>
            </w:r>
          </w:p>
        </w:tc>
        <w:tc>
          <w:tcPr>
            <w:tcW w:w="1780" w:type="dxa"/>
            <w:tcBorders/>
            <w:vAlign w:val="center"/>
          </w:tcPr>
          <w:p>
            <w:pPr>
              <w:jc w:val="right"/>
            </w:pPr>
            <w:r>
              <w:rPr>
                <w:rFonts w:ascii="宋体" w:eastAsia="宋体" w:hAnsi="宋体" w:cs="宋体"/>
                <w:b w:val="0"/>
                <w:i w:val="0"/>
                <w:color w:val="000000"/>
                <w:sz w:val="18"/>
              </w:rPr>
              <w:t xml:space="preserve">609.51</w:t>
            </w:r>
          </w:p>
        </w:tc>
        <w:tc>
          <w:tcPr>
            <w:tcW w:w="1772" w:type="dxa"/>
            <w:tcBorders/>
            <w:vAlign w:val="center"/>
          </w:tcPr>
          <w:p>
            <w:pPr>
              <w:jc w:val="right"/>
            </w:pPr>
            <w:r>
              <w:rPr>
                <w:rFonts w:ascii="宋体" w:eastAsia="宋体" w:hAnsi="宋体" w:cs="宋体"/>
                <w:b w:val="0"/>
                <w:i w:val="0"/>
                <w:color w:val="000000"/>
                <w:sz w:val="18"/>
              </w:rPr>
              <w:t xml:space="preserve">111.07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9.40</w:t>
            </w:r>
          </w:p>
        </w:tc>
        <w:tc>
          <w:tcPr>
            <w:tcW w:w="1780" w:type="dxa"/>
            <w:tcBorders/>
            <w:vAlign w:val="center"/>
          </w:tcPr>
          <w:p>
            <w:pPr>
              <w:jc w:val="right"/>
            </w:pPr>
            <w:r>
              <w:rPr>
                <w:rFonts w:ascii="宋体" w:eastAsia="宋体" w:hAnsi="宋体" w:cs="宋体"/>
                <w:b w:val="0"/>
                <w:i w:val="0"/>
                <w:color w:val="000000"/>
                <w:sz w:val="18"/>
              </w:rPr>
              <w:t xml:space="preserve">9.40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9.40</w:t>
            </w:r>
          </w:p>
        </w:tc>
        <w:tc>
          <w:tcPr>
            <w:tcW w:w="1780" w:type="dxa"/>
            <w:tcBorders/>
            <w:vAlign w:val="center"/>
          </w:tcPr>
          <w:p>
            <w:pPr>
              <w:jc w:val="right"/>
            </w:pPr>
            <w:r>
              <w:rPr>
                <w:rFonts w:ascii="宋体" w:eastAsia="宋体" w:hAnsi="宋体" w:cs="宋体"/>
                <w:b w:val="0"/>
                <w:i w:val="0"/>
                <w:color w:val="000000"/>
                <w:sz w:val="18"/>
              </w:rPr>
              <w:t xml:space="preserve">9.40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9.13</w:t>
            </w:r>
          </w:p>
        </w:tc>
        <w:tc>
          <w:tcPr>
            <w:tcW w:w="1780" w:type="dxa"/>
            <w:tcBorders/>
            <w:vAlign w:val="center"/>
          </w:tcPr>
          <w:p>
            <w:pPr>
              <w:jc w:val="right"/>
            </w:pPr>
            <w:r>
              <w:rPr>
                <w:rFonts w:ascii="宋体" w:eastAsia="宋体" w:hAnsi="宋体" w:cs="宋体"/>
                <w:b w:val="0"/>
                <w:i w:val="0"/>
                <w:color w:val="000000"/>
                <w:sz w:val="18"/>
              </w:rPr>
              <w:t xml:space="preserve">9.13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单位：辽宁省沈阳市浑南区第六初级中学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609.63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9.01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214.17</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3.30</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78.68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17.66</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7.87</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157.14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82.91</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9.13</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40.24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1.81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0.27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0.27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5.72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609.90</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9.01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单位：辽宁省沈阳市浑南区第六初级中学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单位：辽宁省沈阳市浑南区第六初级中学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单位：辽宁省沈阳市浑南区第六初级中学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沈阳市浑南区第六初级中学-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沈阳市浑南区第六初级中学-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沈阳市浑南区第六初级中学-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2024年义务教育资助目标顺利完成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023008沈阳市浑南区第六初级中学-210112000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700.52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700.52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587.26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587.25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22.64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22.64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提高教学质量，保障教学工作顺畅。</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顺利完成提高教学质量，保障教学工作顺畅的目标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有利于促进社会公平、正义</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社会性</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提高教师队伍普通话水平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参加培训人员的满意度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完善巡视巡察上下联动工作格局</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实施专业结构优化调整</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