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辽宁省沈阳市浑南区第四小学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辽宁省沈阳市浑南区第四小学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辽宁省沈阳市浑南区第四小学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辽宁省沈阳市浑南区第四小学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辽宁省沈阳市浑南区第四小学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辽宁省沈阳市浑南区第四小学概况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辽宁省沈阳市浑南区第四小学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沈阳市浑南区第四小学是纳入浑南区教育局2024年度决算编制范围的二级预算单位，本单位无下设机构。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1338.85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1335.02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1335.02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2.20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主要是收到储物柜质保金等收入。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主要是赛艇训练设备质保金等。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减少21.94万元，降低1.61%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幼儿园项目经费减少，教育资源分配调整</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1338.85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897.20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67.01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工资福利支出852.50万元；商品和服务支出9.99万元；对个人和家庭的补助34.71万元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441.65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32.99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主要包括水、电物业等业务支出。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减少20.31万元，降低1.49%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幼儿园项目经费减少，教育资源分配调整</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减少1.63万元，降低100.00%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赛艇训练设备质保金到期付款</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1335.02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897.20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437.82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增加63.43万元，增长4.99%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教师人数增加，工资上调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135.96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91.37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2024年度一般公共预算财政拨款支出1335.02万元。按支出功能分类科目分，包括：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1.教育支出1322.97万元，具体包括：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233.76万元,主要是主要是学前教育办公费及人员经费等支出，完成年初预算的100.00%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（2）教育支出（类）普通教育（款）小学教育（项）1072.21万元,主要是教师工资及办公等经费等支出，完成年初预算的110.47%，决算数与年初预算数存在差异的主要原因是教师新增，工资上调，按实际情况支付。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17.00万元,主要是幼儿园学前奖补项目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2.社会保障和就业支出12.05万元，具体包括：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6.29万元,主要是离退休人员支出等支出，完成年初预算的81.58%，决算数与年初预算数存在差异的主要原因是退休教师人员变动，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5.76万元,主要是退休人员职业年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本单位无此项目预算和支出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897.20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887.21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9.99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沈阳市浑南区第四小学属于事业单位，无机关运行经费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981.92万元。其中，一般公共预算资金981.92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得分在60分以下、等级为“差”的项目有0个。各项目自评发现，评价结果较好，无存在问题。</w:t>
        <w:br/>
        <w:t xml:space="preserve">    3.部门重点评价情况及结果。</w:t>
        <w:br/>
        <w:t xml:space="preserve">    我部门未产生资金量大、社会关注度高的民生领域项目，因此暂未做重点项目绩效评价。</w:t>
        <w:br/>
        <w:t xml:space="preserve">    4.财政评价结果。</w:t>
        <w:br/>
        <w:t xml:space="preserve">    该部门绩效评价结果较好，望你单位继续加强资金管理，用好财政资金，发挥资金效益。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br/>
        <w:t xml:space="preserve">    17.教育支出（类）普通教育（款）学前教育（项）：反映各部门举办的学前教育支出。政府各部门对社会组织等举办的幼儿园资助，如捐赠、补贴等，也在本科目中反映。</w:t>
        <w:br/>
        <w:t xml:space="preserve">    18.教育支出（类）普通教育（款）小学教育（项）：反映各部门举办的小学教育支出。政府各部门对社会组织等举办的小学的资助，如捐赠、补贴等，也在本科目中反映。</w:t>
        <w:br/>
        <w:t xml:space="preserve">    19.教育支出（类）普通教育（款）其他普通教育支出（项）：反映除上述项目以外其他用于普通教育方面的支出。</w:t>
        <w:br/>
        <w:t xml:space="preserve">    20.教育支出（类）教育费附加安排的支出（款）其他教育费附加安排的支出（项）：反映除上述项目以外其他用于教育方面的支出。</w:t>
        <w:br/>
        <w:t xml:space="preserve">    21.社会保障和就业支出（类）行政事业单位养老支出（款）事业单位离退休（项）：反映事业单位开支的离退休经费。</w:t>
        <w:br/>
        <w:t xml:space="preserve">    22.社会保障和就业支出（类）行政事业单位养老支出（款）机关事业单位职业年金缴费支出（项）：反映机关事业单位实施养老保险制度由单位实际缴纳的职业年金支出。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1,335.02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1,326.80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2.20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12.05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1,337.22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1,338.85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1.63</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1,338.85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1,338.85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1,337.22</w:t>
            </w:r>
          </w:p>
        </w:tc>
        <w:tc>
          <w:tcPr>
            <w:tcW w:w="960" w:type="dxa"/>
            <w:tcBorders/>
            <w:vAlign w:val="center"/>
          </w:tcPr>
          <w:p>
            <w:pPr>
              <w:jc w:val="right"/>
            </w:pPr>
            <w:r>
              <w:rPr>
                <w:rFonts w:ascii="宋体" w:eastAsia="宋体" w:hAnsi="宋体" w:cs="宋体"/>
                <w:b/>
                <w:i w:val="0"/>
                <w:color w:val="000000"/>
                <w:sz w:val="13"/>
              </w:rPr>
              <w:t xml:space="preserve">1,335.02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1,325.17</w:t>
            </w:r>
          </w:p>
        </w:tc>
        <w:tc>
          <w:tcPr>
            <w:tcW w:w="960" w:type="dxa"/>
            <w:tcBorders/>
            <w:vAlign w:val="center"/>
          </w:tcPr>
          <w:p>
            <w:pPr>
              <w:jc w:val="right"/>
            </w:pPr>
            <w:r>
              <w:rPr>
                <w:rFonts w:ascii="宋体" w:eastAsia="宋体" w:hAnsi="宋体" w:cs="宋体"/>
                <w:b w:val="0"/>
                <w:i w:val="0"/>
                <w:color w:val="000000"/>
                <w:sz w:val="13"/>
              </w:rPr>
              <w:t xml:space="preserve">1,322.97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1,308.17</w:t>
            </w:r>
          </w:p>
        </w:tc>
        <w:tc>
          <w:tcPr>
            <w:tcW w:w="960" w:type="dxa"/>
            <w:tcBorders/>
            <w:vAlign w:val="center"/>
          </w:tcPr>
          <w:p>
            <w:pPr>
              <w:jc w:val="right"/>
            </w:pPr>
            <w:r>
              <w:rPr>
                <w:rFonts w:ascii="宋体" w:eastAsia="宋体" w:hAnsi="宋体" w:cs="宋体"/>
                <w:b w:val="0"/>
                <w:i w:val="0"/>
                <w:color w:val="000000"/>
                <w:sz w:val="13"/>
              </w:rPr>
              <w:t xml:space="preserve">1,305.97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233.76</w:t>
            </w:r>
          </w:p>
        </w:tc>
        <w:tc>
          <w:tcPr>
            <w:tcW w:w="960" w:type="dxa"/>
            <w:tcBorders/>
            <w:vAlign w:val="center"/>
          </w:tcPr>
          <w:p>
            <w:pPr>
              <w:jc w:val="right"/>
            </w:pPr>
            <w:r>
              <w:rPr>
                <w:rFonts w:ascii="宋体" w:eastAsia="宋体" w:hAnsi="宋体" w:cs="宋体"/>
                <w:b w:val="0"/>
                <w:i w:val="0"/>
                <w:color w:val="000000"/>
                <w:sz w:val="13"/>
              </w:rPr>
              <w:t xml:space="preserve">233.76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1,074.21</w:t>
            </w:r>
          </w:p>
        </w:tc>
        <w:tc>
          <w:tcPr>
            <w:tcW w:w="960" w:type="dxa"/>
            <w:tcBorders/>
            <w:vAlign w:val="center"/>
          </w:tcPr>
          <w:p>
            <w:pPr>
              <w:jc w:val="right"/>
            </w:pPr>
            <w:r>
              <w:rPr>
                <w:rFonts w:ascii="宋体" w:eastAsia="宋体" w:hAnsi="宋体" w:cs="宋体"/>
                <w:b w:val="0"/>
                <w:i w:val="0"/>
                <w:color w:val="000000"/>
                <w:sz w:val="13"/>
              </w:rPr>
              <w:t xml:space="preserve">1,072.21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0.20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0.20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jc w:val="right"/>
            </w:pPr>
            <w:r>
              <w:rPr>
                <w:rFonts w:ascii="宋体" w:eastAsia="宋体" w:hAnsi="宋体" w:cs="宋体"/>
                <w:b w:val="0"/>
                <w:i w:val="0"/>
                <w:color w:val="000000"/>
                <w:sz w:val="13"/>
              </w:rPr>
              <w:t xml:space="preserve">17.00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6.29</w:t>
            </w:r>
          </w:p>
        </w:tc>
        <w:tc>
          <w:tcPr>
            <w:tcW w:w="960" w:type="dxa"/>
            <w:tcBorders/>
            <w:vAlign w:val="center"/>
          </w:tcPr>
          <w:p>
            <w:pPr>
              <w:jc w:val="right"/>
            </w:pPr>
            <w:r>
              <w:rPr>
                <w:rFonts w:ascii="宋体" w:eastAsia="宋体" w:hAnsi="宋体" w:cs="宋体"/>
                <w:b w:val="0"/>
                <w:i w:val="0"/>
                <w:color w:val="000000"/>
                <w:sz w:val="13"/>
              </w:rPr>
              <w:t xml:space="preserve">6.29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5.76</w:t>
            </w:r>
          </w:p>
        </w:tc>
        <w:tc>
          <w:tcPr>
            <w:tcW w:w="960" w:type="dxa"/>
            <w:tcBorders/>
            <w:vAlign w:val="center"/>
          </w:tcPr>
          <w:p>
            <w:pPr>
              <w:jc w:val="right"/>
            </w:pPr>
            <w:r>
              <w:rPr>
                <w:rFonts w:ascii="宋体" w:eastAsia="宋体" w:hAnsi="宋体" w:cs="宋体"/>
                <w:b w:val="0"/>
                <w:i w:val="0"/>
                <w:color w:val="000000"/>
                <w:sz w:val="13"/>
              </w:rPr>
              <w:t xml:space="preserve">5.76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1,338.85</w:t>
            </w:r>
          </w:p>
        </w:tc>
        <w:tc>
          <w:tcPr>
            <w:tcW w:w="1060" w:type="dxa"/>
            <w:tcBorders/>
            <w:vAlign w:val="center"/>
          </w:tcPr>
          <w:p>
            <w:pPr>
              <w:jc w:val="right"/>
            </w:pPr>
            <w:r>
              <w:rPr>
                <w:rFonts w:ascii="宋体" w:eastAsia="宋体" w:hAnsi="宋体" w:cs="宋体"/>
                <w:b/>
                <w:i w:val="0"/>
                <w:color w:val="000000"/>
                <w:sz w:val="14"/>
              </w:rPr>
              <w:t xml:space="preserve">897.20</w:t>
            </w:r>
          </w:p>
        </w:tc>
        <w:tc>
          <w:tcPr>
            <w:tcW w:w="1060" w:type="dxa"/>
            <w:tcBorders/>
            <w:vAlign w:val="center"/>
          </w:tcPr>
          <w:p>
            <w:pPr>
              <w:jc w:val="right"/>
            </w:pPr>
            <w:r>
              <w:rPr>
                <w:rFonts w:ascii="宋体" w:eastAsia="宋体" w:hAnsi="宋体" w:cs="宋体"/>
                <w:b/>
                <w:i w:val="0"/>
                <w:color w:val="000000"/>
                <w:sz w:val="14"/>
              </w:rPr>
              <w:t xml:space="preserve">441.65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1,326.80</w:t>
            </w:r>
          </w:p>
        </w:tc>
        <w:tc>
          <w:tcPr>
            <w:tcW w:w="1060" w:type="dxa"/>
            <w:tcBorders/>
            <w:vAlign w:val="center"/>
          </w:tcPr>
          <w:p>
            <w:pPr>
              <w:jc w:val="right"/>
            </w:pPr>
            <w:r>
              <w:rPr>
                <w:rFonts w:ascii="宋体" w:eastAsia="宋体" w:hAnsi="宋体" w:cs="宋体"/>
                <w:b w:val="0"/>
                <w:i w:val="0"/>
                <w:color w:val="000000"/>
                <w:sz w:val="14"/>
              </w:rPr>
              <w:t xml:space="preserve">885.15</w:t>
            </w:r>
          </w:p>
        </w:tc>
        <w:tc>
          <w:tcPr>
            <w:tcW w:w="1060" w:type="dxa"/>
            <w:tcBorders/>
            <w:vAlign w:val="center"/>
          </w:tcPr>
          <w:p>
            <w:pPr>
              <w:jc w:val="right"/>
            </w:pPr>
            <w:r>
              <w:rPr>
                <w:rFonts w:ascii="宋体" w:eastAsia="宋体" w:hAnsi="宋体" w:cs="宋体"/>
                <w:b w:val="0"/>
                <w:i w:val="0"/>
                <w:color w:val="000000"/>
                <w:sz w:val="14"/>
              </w:rPr>
              <w:t xml:space="preserve">441.65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1,309.80</w:t>
            </w:r>
          </w:p>
        </w:tc>
        <w:tc>
          <w:tcPr>
            <w:tcW w:w="1060" w:type="dxa"/>
            <w:tcBorders/>
            <w:vAlign w:val="center"/>
          </w:tcPr>
          <w:p>
            <w:pPr>
              <w:jc w:val="right"/>
            </w:pPr>
            <w:r>
              <w:rPr>
                <w:rFonts w:ascii="宋体" w:eastAsia="宋体" w:hAnsi="宋体" w:cs="宋体"/>
                <w:b w:val="0"/>
                <w:i w:val="0"/>
                <w:color w:val="000000"/>
                <w:sz w:val="14"/>
              </w:rPr>
              <w:t xml:space="preserve">885.15</w:t>
            </w:r>
          </w:p>
        </w:tc>
        <w:tc>
          <w:tcPr>
            <w:tcW w:w="1060" w:type="dxa"/>
            <w:tcBorders/>
            <w:vAlign w:val="center"/>
          </w:tcPr>
          <w:p>
            <w:pPr>
              <w:jc w:val="right"/>
            </w:pPr>
            <w:r>
              <w:rPr>
                <w:rFonts w:ascii="宋体" w:eastAsia="宋体" w:hAnsi="宋体" w:cs="宋体"/>
                <w:b w:val="0"/>
                <w:i w:val="0"/>
                <w:color w:val="000000"/>
                <w:sz w:val="14"/>
              </w:rPr>
              <w:t xml:space="preserve">424.65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233.76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233.76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1,074.21</w:t>
            </w:r>
          </w:p>
        </w:tc>
        <w:tc>
          <w:tcPr>
            <w:tcW w:w="1060" w:type="dxa"/>
            <w:tcBorders/>
            <w:vAlign w:val="center"/>
          </w:tcPr>
          <w:p>
            <w:pPr>
              <w:jc w:val="right"/>
            </w:pPr>
            <w:r>
              <w:rPr>
                <w:rFonts w:ascii="宋体" w:eastAsia="宋体" w:hAnsi="宋体" w:cs="宋体"/>
                <w:b w:val="0"/>
                <w:i w:val="0"/>
                <w:color w:val="000000"/>
                <w:sz w:val="14"/>
              </w:rPr>
              <w:t xml:space="preserve">885.15</w:t>
            </w:r>
          </w:p>
        </w:tc>
        <w:tc>
          <w:tcPr>
            <w:tcW w:w="1060" w:type="dxa"/>
            <w:tcBorders/>
            <w:vAlign w:val="center"/>
          </w:tcPr>
          <w:p>
            <w:pPr>
              <w:jc w:val="right"/>
            </w:pPr>
            <w:r>
              <w:rPr>
                <w:rFonts w:ascii="宋体" w:eastAsia="宋体" w:hAnsi="宋体" w:cs="宋体"/>
                <w:b w:val="0"/>
                <w:i w:val="0"/>
                <w:color w:val="000000"/>
                <w:sz w:val="14"/>
              </w:rPr>
              <w:t xml:space="preserve">189.06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6.29</w:t>
            </w:r>
          </w:p>
        </w:tc>
        <w:tc>
          <w:tcPr>
            <w:tcW w:w="1060" w:type="dxa"/>
            <w:tcBorders/>
            <w:vAlign w:val="center"/>
          </w:tcPr>
          <w:p>
            <w:pPr>
              <w:jc w:val="right"/>
            </w:pPr>
            <w:r>
              <w:rPr>
                <w:rFonts w:ascii="宋体" w:eastAsia="宋体" w:hAnsi="宋体" w:cs="宋体"/>
                <w:b w:val="0"/>
                <w:i w:val="0"/>
                <w:color w:val="000000"/>
                <w:sz w:val="14"/>
              </w:rPr>
              <w:t xml:space="preserve">6.29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5.76</w:t>
            </w:r>
          </w:p>
        </w:tc>
        <w:tc>
          <w:tcPr>
            <w:tcW w:w="1060" w:type="dxa"/>
            <w:tcBorders/>
            <w:vAlign w:val="center"/>
          </w:tcPr>
          <w:p>
            <w:pPr>
              <w:jc w:val="right"/>
            </w:pPr>
            <w:r>
              <w:rPr>
                <w:rFonts w:ascii="宋体" w:eastAsia="宋体" w:hAnsi="宋体" w:cs="宋体"/>
                <w:b w:val="0"/>
                <w:i w:val="0"/>
                <w:color w:val="000000"/>
                <w:sz w:val="14"/>
              </w:rPr>
              <w:t xml:space="preserve">5.76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1,322.97</w:t>
            </w:r>
          </w:p>
        </w:tc>
        <w:tc>
          <w:tcPr>
            <w:tcW w:w="1100" w:type="dxa"/>
            <w:tcBorders/>
            <w:vAlign w:val="center"/>
          </w:tcPr>
          <w:p>
            <w:pPr>
              <w:jc w:val="right"/>
            </w:pPr>
            <w:r>
              <w:rPr>
                <w:rFonts w:ascii="宋体" w:eastAsia="宋体" w:hAnsi="宋体" w:cs="宋体"/>
                <w:b w:val="0"/>
                <w:i w:val="0"/>
                <w:color w:val="000000"/>
                <w:sz w:val="14"/>
              </w:rPr>
              <w:t xml:space="preserve">1,322.97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12.05</w:t>
            </w:r>
          </w:p>
        </w:tc>
        <w:tc>
          <w:tcPr>
            <w:tcW w:w="1100" w:type="dxa"/>
            <w:tcBorders/>
            <w:vAlign w:val="center"/>
          </w:tcPr>
          <w:p>
            <w:pPr>
              <w:jc w:val="right"/>
            </w:pPr>
            <w:r>
              <w:rPr>
                <w:rFonts w:ascii="宋体" w:eastAsia="宋体" w:hAnsi="宋体" w:cs="宋体"/>
                <w:b w:val="0"/>
                <w:i w:val="0"/>
                <w:color w:val="000000"/>
                <w:sz w:val="14"/>
              </w:rPr>
              <w:t xml:space="preserve">12.05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1100" w:type="dxa"/>
            <w:tcBorders/>
            <w:vAlign w:val="center"/>
          </w:tcPr>
          <w:p>
            <w:pPr>
              <w:jc w:val="right"/>
            </w:pPr>
            <w:r>
              <w:rPr>
                <w:rFonts w:ascii="宋体" w:eastAsia="宋体" w:hAnsi="宋体" w:cs="宋体"/>
                <w:b w:val="0"/>
                <w:i w:val="0"/>
                <w:color w:val="000000"/>
                <w:sz w:val="14"/>
              </w:rPr>
              <w:t xml:space="preserve">1,335.02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1,335.02</w:t>
            </w:r>
          </w:p>
        </w:tc>
        <w:tc>
          <w:tcPr>
            <w:tcW w:w="1780" w:type="dxa"/>
            <w:tcBorders/>
            <w:vAlign w:val="center"/>
          </w:tcPr>
          <w:p>
            <w:pPr>
              <w:jc w:val="right"/>
            </w:pPr>
            <w:r>
              <w:rPr>
                <w:rFonts w:ascii="宋体" w:eastAsia="宋体" w:hAnsi="宋体" w:cs="宋体"/>
                <w:b/>
                <w:i w:val="0"/>
                <w:color w:val="000000"/>
                <w:sz w:val="18"/>
              </w:rPr>
              <w:t xml:space="preserve">897.20</w:t>
            </w:r>
          </w:p>
        </w:tc>
        <w:tc>
          <w:tcPr>
            <w:tcW w:w="1772" w:type="dxa"/>
            <w:tcBorders/>
            <w:vAlign w:val="center"/>
          </w:tcPr>
          <w:p>
            <w:pPr>
              <w:jc w:val="right"/>
            </w:pPr>
            <w:r>
              <w:rPr>
                <w:rFonts w:ascii="宋体" w:eastAsia="宋体" w:hAnsi="宋体" w:cs="宋体"/>
                <w:b/>
                <w:i w:val="0"/>
                <w:color w:val="000000"/>
                <w:sz w:val="18"/>
              </w:rPr>
              <w:t xml:space="preserve">437.82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1,322.97</w:t>
            </w:r>
          </w:p>
        </w:tc>
        <w:tc>
          <w:tcPr>
            <w:tcW w:w="1780" w:type="dxa"/>
            <w:tcBorders/>
            <w:vAlign w:val="center"/>
          </w:tcPr>
          <w:p>
            <w:pPr>
              <w:jc w:val="right"/>
            </w:pPr>
            <w:r>
              <w:rPr>
                <w:rFonts w:ascii="宋体" w:eastAsia="宋体" w:hAnsi="宋体" w:cs="宋体"/>
                <w:b w:val="0"/>
                <w:i w:val="0"/>
                <w:color w:val="000000"/>
                <w:sz w:val="18"/>
              </w:rPr>
              <w:t xml:space="preserve">885.15</w:t>
            </w:r>
          </w:p>
        </w:tc>
        <w:tc>
          <w:tcPr>
            <w:tcW w:w="1772" w:type="dxa"/>
            <w:tcBorders/>
            <w:vAlign w:val="center"/>
          </w:tcPr>
          <w:p>
            <w:pPr>
              <w:jc w:val="right"/>
            </w:pPr>
            <w:r>
              <w:rPr>
                <w:rFonts w:ascii="宋体" w:eastAsia="宋体" w:hAnsi="宋体" w:cs="宋体"/>
                <w:b w:val="0"/>
                <w:i w:val="0"/>
                <w:color w:val="000000"/>
                <w:sz w:val="18"/>
              </w:rPr>
              <w:t xml:space="preserve">437.82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1,305.97</w:t>
            </w:r>
          </w:p>
        </w:tc>
        <w:tc>
          <w:tcPr>
            <w:tcW w:w="1780" w:type="dxa"/>
            <w:tcBorders/>
            <w:vAlign w:val="center"/>
          </w:tcPr>
          <w:p>
            <w:pPr>
              <w:jc w:val="right"/>
            </w:pPr>
            <w:r>
              <w:rPr>
                <w:rFonts w:ascii="宋体" w:eastAsia="宋体" w:hAnsi="宋体" w:cs="宋体"/>
                <w:b w:val="0"/>
                <w:i w:val="0"/>
                <w:color w:val="000000"/>
                <w:sz w:val="18"/>
              </w:rPr>
              <w:t xml:space="preserve">885.15</w:t>
            </w:r>
          </w:p>
        </w:tc>
        <w:tc>
          <w:tcPr>
            <w:tcW w:w="1772" w:type="dxa"/>
            <w:tcBorders/>
            <w:vAlign w:val="center"/>
          </w:tcPr>
          <w:p>
            <w:pPr>
              <w:jc w:val="right"/>
            </w:pPr>
            <w:r>
              <w:rPr>
                <w:rFonts w:ascii="宋体" w:eastAsia="宋体" w:hAnsi="宋体" w:cs="宋体"/>
                <w:b w:val="0"/>
                <w:i w:val="0"/>
                <w:color w:val="000000"/>
                <w:sz w:val="18"/>
              </w:rPr>
              <w:t xml:space="preserve">420.82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233.76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233.76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1,072.21</w:t>
            </w:r>
          </w:p>
        </w:tc>
        <w:tc>
          <w:tcPr>
            <w:tcW w:w="1780" w:type="dxa"/>
            <w:tcBorders/>
            <w:vAlign w:val="center"/>
          </w:tcPr>
          <w:p>
            <w:pPr>
              <w:jc w:val="right"/>
            </w:pPr>
            <w:r>
              <w:rPr>
                <w:rFonts w:ascii="宋体" w:eastAsia="宋体" w:hAnsi="宋体" w:cs="宋体"/>
                <w:b w:val="0"/>
                <w:i w:val="0"/>
                <w:color w:val="000000"/>
                <w:sz w:val="18"/>
              </w:rPr>
              <w:t xml:space="preserve">885.15</w:t>
            </w:r>
          </w:p>
        </w:tc>
        <w:tc>
          <w:tcPr>
            <w:tcW w:w="1772" w:type="dxa"/>
            <w:tcBorders/>
            <w:vAlign w:val="center"/>
          </w:tcPr>
          <w:p>
            <w:pPr>
              <w:jc w:val="right"/>
            </w:pPr>
            <w:r>
              <w:rPr>
                <w:rFonts w:ascii="宋体" w:eastAsia="宋体" w:hAnsi="宋体" w:cs="宋体"/>
                <w:b w:val="0"/>
                <w:i w:val="0"/>
                <w:color w:val="000000"/>
                <w:sz w:val="18"/>
              </w:rPr>
              <w:t xml:space="preserve">187.06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17.00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17.00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6.29</w:t>
            </w:r>
          </w:p>
        </w:tc>
        <w:tc>
          <w:tcPr>
            <w:tcW w:w="1780" w:type="dxa"/>
            <w:tcBorders/>
            <w:vAlign w:val="center"/>
          </w:tcPr>
          <w:p>
            <w:pPr>
              <w:jc w:val="right"/>
            </w:pPr>
            <w:r>
              <w:rPr>
                <w:rFonts w:ascii="宋体" w:eastAsia="宋体" w:hAnsi="宋体" w:cs="宋体"/>
                <w:b w:val="0"/>
                <w:i w:val="0"/>
                <w:color w:val="000000"/>
                <w:sz w:val="18"/>
              </w:rPr>
              <w:t xml:space="preserve">6.29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5.76</w:t>
            </w:r>
          </w:p>
        </w:tc>
        <w:tc>
          <w:tcPr>
            <w:tcW w:w="1780" w:type="dxa"/>
            <w:tcBorders/>
            <w:vAlign w:val="center"/>
          </w:tcPr>
          <w:p>
            <w:pPr>
              <w:jc w:val="right"/>
            </w:pPr>
            <w:r>
              <w:rPr>
                <w:rFonts w:ascii="宋体" w:eastAsia="宋体" w:hAnsi="宋体" w:cs="宋体"/>
                <w:b w:val="0"/>
                <w:i w:val="0"/>
                <w:color w:val="000000"/>
                <w:sz w:val="18"/>
              </w:rPr>
              <w:t xml:space="preserve">5.76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852.50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9.99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348.69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0.35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103.09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27.89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8.73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194.91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0.35</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112.84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1.99</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5.76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47.75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2.85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34.71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6.29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19.53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8.89</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6.36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887.21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9.99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单位：辽宁省沈阳市浑南区第四小学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023019沈阳市浑南区第四小学-210112000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981.92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981.92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827.99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827.99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保障教育事业顺利进行，确保学校顺利开展教育教学工作。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已保障完成，确保顺利开展教育教学工作。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发放补助对象满意度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建立高层次创新人才绩效激励机制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沈阳市浑南区第四小学-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