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辽宁省沈阳市浑南区第五初级中学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辽宁省沈阳市浑南区第五初级中学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辽宁省沈阳市浑南区第五初级中学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辽宁省沈阳市浑南区第五初级中学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辽宁省沈阳市浑南区第五初级中学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辽宁省沈阳市浑南区第五初级中学概况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我单位隶属于沈阳市浑南区教育局，为全额拨款的事业单位公办初级中学。我单位贯彻执行国家和省市区教育方针、政策，接收本地学区的小学毕业生，完成为期三年的初中义务教育教学任务，为上级学校及社会培养德智体美等方面合格的毕业生。在此过程中，我单位根据省市区财政部门的要求，拟订本单位财政预算报告，严格按照上级财务政策实施完成上级财政拨款的支出，形成本单位的部门决算。</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辽宁省沈阳市浑南区第五初级中学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沈阳市浑南区第五初级中学是纳入浑南区教育局2024年度决算编制范围的二级预算单位，本单位无下设机构。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1209.64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1206.53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99.74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1206.53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1.30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主要是标准化考点建设，赛艇训练设备质保金等收入。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1.81</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0.15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主要是赛艇训练设备质保金等。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增加64.11万元，增长5.60%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学生数增加，教育资源分配调整</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1209.64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973.36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80.47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工资福利支出961.31万元；商品和服务支出12.05万元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236.28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19.53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主要包括水、电、物业等业务支出。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增加65.74万元，增长5.75%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学生数数增加，教育资源分配调整</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减少1.63万元，降低100.00%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支付赛艇训练设备质保金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1206.53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973.36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233.17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增加97.19万元，增长8.76%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工资调整，根据标准保险基数在今年10月进行调整，人员经费增，学生数量增加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104.64</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84.41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2024年度一般公共预算财政拨款支出1206.53万元。按支出功能分类科目分，包括：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1.教育支出1206.53万元，具体包括：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初中教育（项）1205.54万元,主要是人员经费及办公经费等支出，完成年初预算的104.55%，决算数与年初预算数存在差异的主要原因是人员增加，今年10月保险基数调整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普通教育（款）其他普通教育支出（项）0.59万元,主要是标准化考点建设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教育支出（类）教育费附加安排的支出（款）其他教育费附加安排的支出（项）0.40万元,主要是劳务费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本单位无此经费支出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本单位无此经费支出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本单位无此经费支出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本单位无此经费支出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本单位无此经费支出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本单位无此经费支出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973.36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961.31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12.05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本单位无此经费支出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1153.08万元。其中，一般公共预算资金1152.08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0个；得分在60分（含）至80分、等级为“中”的项目有0；得分在60分以下、等级为“差”的项目有0个。各项目自评发现，部分项目存在0问题，</w:t>
        <w:br/>
        <w:t xml:space="preserve">    3.部门重点评价情况及结果。</w:t>
        <w:br/>
        <w:t xml:space="preserve">    我部门未产生资金量大，社会关注度搞得民生领域项目，因此暂未做重点项目绩效评价。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中学运行经费：指为保障学校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br/>
        <w:t xml:space="preserve">    17.一般公共预算财政拨款支出：政府依据经批准的一般公共预算，以无偿拨款方式分配给各部门、单位、并最终由着写单位实际支付出去的，用于保障国家管理运行、提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1,206.53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1,209.64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1.30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1,207.83</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1,209.64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1.81</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1,209.64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1,209.64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1,207.83</w:t>
            </w:r>
          </w:p>
        </w:tc>
        <w:tc>
          <w:tcPr>
            <w:tcW w:w="960" w:type="dxa"/>
            <w:tcBorders/>
            <w:vAlign w:val="center"/>
          </w:tcPr>
          <w:p>
            <w:pPr>
              <w:jc w:val="right"/>
            </w:pPr>
            <w:r>
              <w:rPr>
                <w:rFonts w:ascii="宋体" w:eastAsia="宋体" w:hAnsi="宋体" w:cs="宋体"/>
                <w:b/>
                <w:i w:val="0"/>
                <w:color w:val="000000"/>
                <w:sz w:val="13"/>
              </w:rPr>
              <w:t xml:space="preserve">1,206.53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1,207.83</w:t>
            </w:r>
          </w:p>
        </w:tc>
        <w:tc>
          <w:tcPr>
            <w:tcW w:w="960" w:type="dxa"/>
            <w:tcBorders/>
            <w:vAlign w:val="center"/>
          </w:tcPr>
          <w:p>
            <w:pPr>
              <w:jc w:val="right"/>
            </w:pPr>
            <w:r>
              <w:rPr>
                <w:rFonts w:ascii="宋体" w:eastAsia="宋体" w:hAnsi="宋体" w:cs="宋体"/>
                <w:b w:val="0"/>
                <w:i w:val="0"/>
                <w:color w:val="000000"/>
                <w:sz w:val="13"/>
              </w:rPr>
              <w:t xml:space="preserve">1,206.53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1,207.43</w:t>
            </w:r>
          </w:p>
        </w:tc>
        <w:tc>
          <w:tcPr>
            <w:tcW w:w="960" w:type="dxa"/>
            <w:tcBorders/>
            <w:vAlign w:val="center"/>
          </w:tcPr>
          <w:p>
            <w:pPr>
              <w:jc w:val="right"/>
            </w:pPr>
            <w:r>
              <w:rPr>
                <w:rFonts w:ascii="宋体" w:eastAsia="宋体" w:hAnsi="宋体" w:cs="宋体"/>
                <w:b w:val="0"/>
                <w:i w:val="0"/>
                <w:color w:val="000000"/>
                <w:sz w:val="13"/>
              </w:rPr>
              <w:t xml:space="preserve">1,206.13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2050203</w:t>
            </w:r>
          </w:p>
        </w:tc>
        <w:tc>
          <w:tcPr>
            <w:tcW w:w="3200" w:type="dxa"/>
            <w:tcBorders/>
            <w:vAlign w:val="center"/>
          </w:tcPr>
          <w:p>
            <w:pPr>
              <w:jc w:val="left"/>
            </w:pPr>
            <w:r>
              <w:rPr>
                <w:rFonts w:ascii="宋体" w:eastAsia="宋体" w:hAnsi="宋体" w:cs="宋体"/>
                <w:b w:val="0"/>
                <w:i w:val="0"/>
                <w:color w:val="000000"/>
                <w:sz w:val="13"/>
              </w:rPr>
              <w:t xml:space="preserve">初中教育</w:t>
            </w:r>
          </w:p>
        </w:tc>
        <w:tc>
          <w:tcPr>
            <w:tcW w:w="960" w:type="dxa"/>
            <w:tcBorders/>
            <w:vAlign w:val="center"/>
          </w:tcPr>
          <w:p>
            <w:pPr>
              <w:jc w:val="right"/>
            </w:pPr>
            <w:r>
              <w:rPr>
                <w:rFonts w:ascii="宋体" w:eastAsia="宋体" w:hAnsi="宋体" w:cs="宋体"/>
                <w:b w:val="0"/>
                <w:i w:val="0"/>
                <w:color w:val="000000"/>
                <w:sz w:val="13"/>
              </w:rPr>
              <w:t xml:space="preserve">1,205.54</w:t>
            </w:r>
          </w:p>
        </w:tc>
        <w:tc>
          <w:tcPr>
            <w:tcW w:w="960" w:type="dxa"/>
            <w:tcBorders/>
            <w:vAlign w:val="center"/>
          </w:tcPr>
          <w:p>
            <w:pPr>
              <w:jc w:val="right"/>
            </w:pPr>
            <w:r>
              <w:rPr>
                <w:rFonts w:ascii="宋体" w:eastAsia="宋体" w:hAnsi="宋体" w:cs="宋体"/>
                <w:b w:val="0"/>
                <w:i w:val="0"/>
                <w:color w:val="000000"/>
                <w:sz w:val="13"/>
              </w:rPr>
              <w:t xml:space="preserve">1,205.54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1.89</w:t>
            </w:r>
          </w:p>
        </w:tc>
        <w:tc>
          <w:tcPr>
            <w:tcW w:w="960" w:type="dxa"/>
            <w:tcBorders/>
            <w:vAlign w:val="center"/>
          </w:tcPr>
          <w:p>
            <w:pPr>
              <w:jc w:val="right"/>
            </w:pPr>
            <w:r>
              <w:rPr>
                <w:rFonts w:ascii="宋体" w:eastAsia="宋体" w:hAnsi="宋体" w:cs="宋体"/>
                <w:b w:val="0"/>
                <w:i w:val="0"/>
                <w:color w:val="000000"/>
                <w:sz w:val="13"/>
              </w:rPr>
              <w:t xml:space="preserve">0.59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0.40</w:t>
            </w:r>
          </w:p>
        </w:tc>
        <w:tc>
          <w:tcPr>
            <w:tcW w:w="960" w:type="dxa"/>
            <w:tcBorders/>
            <w:vAlign w:val="center"/>
          </w:tcPr>
          <w:p>
            <w:pPr>
              <w:jc w:val="right"/>
            </w:pPr>
            <w:r>
              <w:rPr>
                <w:rFonts w:ascii="宋体" w:eastAsia="宋体" w:hAnsi="宋体" w:cs="宋体"/>
                <w:b w:val="0"/>
                <w:i w:val="0"/>
                <w:color w:val="000000"/>
                <w:sz w:val="13"/>
              </w:rPr>
              <w:t xml:space="preserve">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0.40</w:t>
            </w:r>
          </w:p>
        </w:tc>
        <w:tc>
          <w:tcPr>
            <w:tcW w:w="960" w:type="dxa"/>
            <w:tcBorders/>
            <w:vAlign w:val="center"/>
          </w:tcPr>
          <w:p>
            <w:pPr>
              <w:jc w:val="right"/>
            </w:pPr>
            <w:r>
              <w:rPr>
                <w:rFonts w:ascii="宋体" w:eastAsia="宋体" w:hAnsi="宋体" w:cs="宋体"/>
                <w:b w:val="0"/>
                <w:i w:val="0"/>
                <w:color w:val="000000"/>
                <w:sz w:val="13"/>
              </w:rPr>
              <w:t xml:space="preserve">0.40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1,209.64</w:t>
            </w:r>
          </w:p>
        </w:tc>
        <w:tc>
          <w:tcPr>
            <w:tcW w:w="1060" w:type="dxa"/>
            <w:tcBorders/>
            <w:vAlign w:val="center"/>
          </w:tcPr>
          <w:p>
            <w:pPr>
              <w:jc w:val="right"/>
            </w:pPr>
            <w:r>
              <w:rPr>
                <w:rFonts w:ascii="宋体" w:eastAsia="宋体" w:hAnsi="宋体" w:cs="宋体"/>
                <w:b/>
                <w:i w:val="0"/>
                <w:color w:val="000000"/>
                <w:sz w:val="14"/>
              </w:rPr>
              <w:t xml:space="preserve">973.36</w:t>
            </w:r>
          </w:p>
        </w:tc>
        <w:tc>
          <w:tcPr>
            <w:tcW w:w="1060" w:type="dxa"/>
            <w:tcBorders/>
            <w:vAlign w:val="center"/>
          </w:tcPr>
          <w:p>
            <w:pPr>
              <w:jc w:val="right"/>
            </w:pPr>
            <w:r>
              <w:rPr>
                <w:rFonts w:ascii="宋体" w:eastAsia="宋体" w:hAnsi="宋体" w:cs="宋体"/>
                <w:b/>
                <w:i w:val="0"/>
                <w:color w:val="000000"/>
                <w:sz w:val="14"/>
              </w:rPr>
              <w:t xml:space="preserve">236.28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1,209.64</w:t>
            </w:r>
          </w:p>
        </w:tc>
        <w:tc>
          <w:tcPr>
            <w:tcW w:w="1060" w:type="dxa"/>
            <w:tcBorders/>
            <w:vAlign w:val="center"/>
          </w:tcPr>
          <w:p>
            <w:pPr>
              <w:jc w:val="right"/>
            </w:pPr>
            <w:r>
              <w:rPr>
                <w:rFonts w:ascii="宋体" w:eastAsia="宋体" w:hAnsi="宋体" w:cs="宋体"/>
                <w:b w:val="0"/>
                <w:i w:val="0"/>
                <w:color w:val="000000"/>
                <w:sz w:val="14"/>
              </w:rPr>
              <w:t xml:space="preserve">973.36</w:t>
            </w:r>
          </w:p>
        </w:tc>
        <w:tc>
          <w:tcPr>
            <w:tcW w:w="1060" w:type="dxa"/>
            <w:tcBorders/>
            <w:vAlign w:val="center"/>
          </w:tcPr>
          <w:p>
            <w:pPr>
              <w:jc w:val="right"/>
            </w:pPr>
            <w:r>
              <w:rPr>
                <w:rFonts w:ascii="宋体" w:eastAsia="宋体" w:hAnsi="宋体" w:cs="宋体"/>
                <w:b w:val="0"/>
                <w:i w:val="0"/>
                <w:color w:val="000000"/>
                <w:sz w:val="14"/>
              </w:rPr>
              <w:t xml:space="preserve">236.28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1,209.24</w:t>
            </w:r>
          </w:p>
        </w:tc>
        <w:tc>
          <w:tcPr>
            <w:tcW w:w="1060" w:type="dxa"/>
            <w:tcBorders/>
            <w:vAlign w:val="center"/>
          </w:tcPr>
          <w:p>
            <w:pPr>
              <w:jc w:val="right"/>
            </w:pPr>
            <w:r>
              <w:rPr>
                <w:rFonts w:ascii="宋体" w:eastAsia="宋体" w:hAnsi="宋体" w:cs="宋体"/>
                <w:b w:val="0"/>
                <w:i w:val="0"/>
                <w:color w:val="000000"/>
                <w:sz w:val="14"/>
              </w:rPr>
              <w:t xml:space="preserve">973.36</w:t>
            </w:r>
          </w:p>
        </w:tc>
        <w:tc>
          <w:tcPr>
            <w:tcW w:w="1060" w:type="dxa"/>
            <w:tcBorders/>
            <w:vAlign w:val="center"/>
          </w:tcPr>
          <w:p>
            <w:pPr>
              <w:jc w:val="right"/>
            </w:pPr>
            <w:r>
              <w:rPr>
                <w:rFonts w:ascii="宋体" w:eastAsia="宋体" w:hAnsi="宋体" w:cs="宋体"/>
                <w:b w:val="0"/>
                <w:i w:val="0"/>
                <w:color w:val="000000"/>
                <w:sz w:val="14"/>
              </w:rPr>
              <w:t xml:space="preserve">235.88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2050203</w:t>
            </w:r>
          </w:p>
        </w:tc>
        <w:tc>
          <w:tcPr>
            <w:tcW w:w="3440" w:type="dxa"/>
            <w:tcBorders/>
            <w:vAlign w:val="center"/>
          </w:tcPr>
          <w:p>
            <w:pPr>
              <w:jc w:val="left"/>
            </w:pPr>
            <w:r>
              <w:rPr>
                <w:rFonts w:ascii="宋体" w:eastAsia="宋体" w:hAnsi="宋体" w:cs="宋体"/>
                <w:b w:val="0"/>
                <w:i w:val="0"/>
                <w:color w:val="000000"/>
                <w:sz w:val="14"/>
              </w:rPr>
              <w:t xml:space="preserve">初中教育</w:t>
            </w:r>
          </w:p>
        </w:tc>
        <w:tc>
          <w:tcPr>
            <w:tcW w:w="1060" w:type="dxa"/>
            <w:tcBorders/>
            <w:vAlign w:val="center"/>
          </w:tcPr>
          <w:p>
            <w:pPr>
              <w:jc w:val="right"/>
            </w:pPr>
            <w:r>
              <w:rPr>
                <w:rFonts w:ascii="宋体" w:eastAsia="宋体" w:hAnsi="宋体" w:cs="宋体"/>
                <w:b w:val="0"/>
                <w:i w:val="0"/>
                <w:color w:val="000000"/>
                <w:sz w:val="14"/>
              </w:rPr>
              <w:t xml:space="preserve">1,205.54</w:t>
            </w:r>
          </w:p>
        </w:tc>
        <w:tc>
          <w:tcPr>
            <w:tcW w:w="1060" w:type="dxa"/>
            <w:tcBorders/>
            <w:vAlign w:val="center"/>
          </w:tcPr>
          <w:p>
            <w:pPr>
              <w:jc w:val="right"/>
            </w:pPr>
            <w:r>
              <w:rPr>
                <w:rFonts w:ascii="宋体" w:eastAsia="宋体" w:hAnsi="宋体" w:cs="宋体"/>
                <w:b w:val="0"/>
                <w:i w:val="0"/>
                <w:color w:val="000000"/>
                <w:sz w:val="14"/>
              </w:rPr>
              <w:t xml:space="preserve">973.36</w:t>
            </w:r>
          </w:p>
        </w:tc>
        <w:tc>
          <w:tcPr>
            <w:tcW w:w="1060" w:type="dxa"/>
            <w:tcBorders/>
            <w:vAlign w:val="center"/>
          </w:tcPr>
          <w:p>
            <w:pPr>
              <w:jc w:val="right"/>
            </w:pPr>
            <w:r>
              <w:rPr>
                <w:rFonts w:ascii="宋体" w:eastAsia="宋体" w:hAnsi="宋体" w:cs="宋体"/>
                <w:b w:val="0"/>
                <w:i w:val="0"/>
                <w:color w:val="000000"/>
                <w:sz w:val="14"/>
              </w:rPr>
              <w:t xml:space="preserve">232.18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3.70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0.40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0.40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1100" w:type="dxa"/>
            <w:tcBorders/>
            <w:vAlign w:val="center"/>
          </w:tcPr>
          <w:p>
            <w:pPr>
              <w:jc w:val="right"/>
            </w:pPr>
            <w:r>
              <w:rPr>
                <w:rFonts w:ascii="宋体" w:eastAsia="宋体" w:hAnsi="宋体" w:cs="宋体"/>
                <w:b w:val="0"/>
                <w:i w:val="0"/>
                <w:color w:val="000000"/>
                <w:sz w:val="14"/>
              </w:rPr>
              <w:t xml:space="preserve">1,206.53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1,206.53</w:t>
            </w:r>
          </w:p>
        </w:tc>
        <w:tc>
          <w:tcPr>
            <w:tcW w:w="1780" w:type="dxa"/>
            <w:tcBorders/>
            <w:vAlign w:val="center"/>
          </w:tcPr>
          <w:p>
            <w:pPr>
              <w:jc w:val="right"/>
            </w:pPr>
            <w:r>
              <w:rPr>
                <w:rFonts w:ascii="宋体" w:eastAsia="宋体" w:hAnsi="宋体" w:cs="宋体"/>
                <w:b/>
                <w:i w:val="0"/>
                <w:color w:val="000000"/>
                <w:sz w:val="18"/>
              </w:rPr>
              <w:t xml:space="preserve">973.36</w:t>
            </w:r>
          </w:p>
        </w:tc>
        <w:tc>
          <w:tcPr>
            <w:tcW w:w="1772" w:type="dxa"/>
            <w:tcBorders/>
            <w:vAlign w:val="center"/>
          </w:tcPr>
          <w:p>
            <w:pPr>
              <w:jc w:val="right"/>
            </w:pPr>
            <w:r>
              <w:rPr>
                <w:rFonts w:ascii="宋体" w:eastAsia="宋体" w:hAnsi="宋体" w:cs="宋体"/>
                <w:b/>
                <w:i w:val="0"/>
                <w:color w:val="000000"/>
                <w:sz w:val="18"/>
              </w:rPr>
              <w:t xml:space="preserve">233.17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1,206.53</w:t>
            </w:r>
          </w:p>
        </w:tc>
        <w:tc>
          <w:tcPr>
            <w:tcW w:w="1780" w:type="dxa"/>
            <w:tcBorders/>
            <w:vAlign w:val="center"/>
          </w:tcPr>
          <w:p>
            <w:pPr>
              <w:jc w:val="right"/>
            </w:pPr>
            <w:r>
              <w:rPr>
                <w:rFonts w:ascii="宋体" w:eastAsia="宋体" w:hAnsi="宋体" w:cs="宋体"/>
                <w:b w:val="0"/>
                <w:i w:val="0"/>
                <w:color w:val="000000"/>
                <w:sz w:val="18"/>
              </w:rPr>
              <w:t xml:space="preserve">973.36</w:t>
            </w:r>
          </w:p>
        </w:tc>
        <w:tc>
          <w:tcPr>
            <w:tcW w:w="1772" w:type="dxa"/>
            <w:tcBorders/>
            <w:vAlign w:val="center"/>
          </w:tcPr>
          <w:p>
            <w:pPr>
              <w:jc w:val="right"/>
            </w:pPr>
            <w:r>
              <w:rPr>
                <w:rFonts w:ascii="宋体" w:eastAsia="宋体" w:hAnsi="宋体" w:cs="宋体"/>
                <w:b w:val="0"/>
                <w:i w:val="0"/>
                <w:color w:val="000000"/>
                <w:sz w:val="18"/>
              </w:rPr>
              <w:t xml:space="preserve">233.17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1,206.13</w:t>
            </w:r>
          </w:p>
        </w:tc>
        <w:tc>
          <w:tcPr>
            <w:tcW w:w="1780" w:type="dxa"/>
            <w:tcBorders/>
            <w:vAlign w:val="center"/>
          </w:tcPr>
          <w:p>
            <w:pPr>
              <w:jc w:val="right"/>
            </w:pPr>
            <w:r>
              <w:rPr>
                <w:rFonts w:ascii="宋体" w:eastAsia="宋体" w:hAnsi="宋体" w:cs="宋体"/>
                <w:b w:val="0"/>
                <w:i w:val="0"/>
                <w:color w:val="000000"/>
                <w:sz w:val="18"/>
              </w:rPr>
              <w:t xml:space="preserve">973.36</w:t>
            </w:r>
          </w:p>
        </w:tc>
        <w:tc>
          <w:tcPr>
            <w:tcW w:w="1772" w:type="dxa"/>
            <w:tcBorders/>
            <w:vAlign w:val="center"/>
          </w:tcPr>
          <w:p>
            <w:pPr>
              <w:jc w:val="right"/>
            </w:pPr>
            <w:r>
              <w:rPr>
                <w:rFonts w:ascii="宋体" w:eastAsia="宋体" w:hAnsi="宋体" w:cs="宋体"/>
                <w:b w:val="0"/>
                <w:i w:val="0"/>
                <w:color w:val="000000"/>
                <w:sz w:val="18"/>
              </w:rPr>
              <w:t xml:space="preserve">232.77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2050203</w:t>
            </w:r>
          </w:p>
        </w:tc>
        <w:tc>
          <w:tcPr>
            <w:tcW w:w="4300" w:type="dxa"/>
            <w:tcBorders/>
            <w:vAlign w:val="center"/>
          </w:tcPr>
          <w:p>
            <w:pPr>
              <w:jc w:val="left"/>
            </w:pPr>
            <w:r>
              <w:rPr>
                <w:rFonts w:ascii="宋体" w:eastAsia="宋体" w:hAnsi="宋体" w:cs="宋体"/>
                <w:b w:val="0"/>
                <w:i w:val="0"/>
                <w:color w:val="000000"/>
                <w:sz w:val="18"/>
              </w:rPr>
              <w:t xml:space="preserve">初中教育</w:t>
            </w:r>
          </w:p>
        </w:tc>
        <w:tc>
          <w:tcPr>
            <w:tcW w:w="1780" w:type="dxa"/>
            <w:tcBorders/>
            <w:vAlign w:val="center"/>
          </w:tcPr>
          <w:p>
            <w:pPr>
              <w:jc w:val="right"/>
            </w:pPr>
            <w:r>
              <w:rPr>
                <w:rFonts w:ascii="宋体" w:eastAsia="宋体" w:hAnsi="宋体" w:cs="宋体"/>
                <w:b w:val="0"/>
                <w:i w:val="0"/>
                <w:color w:val="000000"/>
                <w:sz w:val="18"/>
              </w:rPr>
              <w:t xml:space="preserve">1,205.54</w:t>
            </w:r>
          </w:p>
        </w:tc>
        <w:tc>
          <w:tcPr>
            <w:tcW w:w="1780" w:type="dxa"/>
            <w:tcBorders/>
            <w:vAlign w:val="center"/>
          </w:tcPr>
          <w:p>
            <w:pPr>
              <w:jc w:val="right"/>
            </w:pPr>
            <w:r>
              <w:rPr>
                <w:rFonts w:ascii="宋体" w:eastAsia="宋体" w:hAnsi="宋体" w:cs="宋体"/>
                <w:b w:val="0"/>
                <w:i w:val="0"/>
                <w:color w:val="000000"/>
                <w:sz w:val="18"/>
              </w:rPr>
              <w:t xml:space="preserve">973.36</w:t>
            </w:r>
          </w:p>
        </w:tc>
        <w:tc>
          <w:tcPr>
            <w:tcW w:w="1772" w:type="dxa"/>
            <w:tcBorders/>
            <w:vAlign w:val="center"/>
          </w:tcPr>
          <w:p>
            <w:pPr>
              <w:jc w:val="right"/>
            </w:pPr>
            <w:r>
              <w:rPr>
                <w:rFonts w:ascii="宋体" w:eastAsia="宋体" w:hAnsi="宋体" w:cs="宋体"/>
                <w:b w:val="0"/>
                <w:i w:val="0"/>
                <w:color w:val="000000"/>
                <w:sz w:val="18"/>
              </w:rPr>
              <w:t xml:space="preserve">232.18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2050299</w:t>
            </w:r>
          </w:p>
        </w:tc>
        <w:tc>
          <w:tcPr>
            <w:tcW w:w="4300" w:type="dxa"/>
            <w:tcBorders/>
            <w:vAlign w:val="center"/>
          </w:tcPr>
          <w:p>
            <w:pPr>
              <w:jc w:val="left"/>
            </w:pPr>
            <w:r>
              <w:rPr>
                <w:rFonts w:ascii="宋体" w:eastAsia="宋体" w:hAnsi="宋体" w:cs="宋体"/>
                <w:b w:val="0"/>
                <w:i w:val="0"/>
                <w:color w:val="000000"/>
                <w:sz w:val="18"/>
              </w:rPr>
              <w:t xml:space="preserve">其他普通教育支出</w:t>
            </w:r>
          </w:p>
        </w:tc>
        <w:tc>
          <w:tcPr>
            <w:tcW w:w="1780" w:type="dxa"/>
            <w:tcBorders/>
            <w:vAlign w:val="center"/>
          </w:tcPr>
          <w:p>
            <w:pPr>
              <w:jc w:val="right"/>
            </w:pPr>
            <w:r>
              <w:rPr>
                <w:rFonts w:ascii="宋体" w:eastAsia="宋体" w:hAnsi="宋体" w:cs="宋体"/>
                <w:b w:val="0"/>
                <w:i w:val="0"/>
                <w:color w:val="000000"/>
                <w:sz w:val="18"/>
              </w:rPr>
              <w:t xml:space="preserve">0.59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0.59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0.40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0.40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0.40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961.31</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12.05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338.99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0.96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123.95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27.72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12.88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256.68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132.79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65.41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2.90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0.44</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1.00</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0.43</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9.21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961.31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12.05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单位：辽宁省沈阳市浑南区第五初级中学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023007沈阳市浑南区第五初级中学-210112000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1153.08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1153.08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927.13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927.13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保障教学工作顺利开展，提高教育教质量</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提高教师队伍普通话水平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整体提高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社会公众对教育事业发展满意度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建立高层次创新人才绩效激励机制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制定方案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实施专业结构优化调整</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制定方案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标准化考点建设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保障浑南区考生顺利完成各级各类考试任务。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保证网络和信息安全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保证安全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沈阳市浑南区第五初级中学-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