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辽宁省沈阳市浑南区第一初级中学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辽宁省沈阳市浑南区第一初级中学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辽宁省沈阳市浑南区第一初级中学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辽宁省沈阳市浑南区第一初级中学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辽宁省沈阳市浑南区第一初级中学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辽宁省沈阳市浑南区第一初级中学概况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我单位隶属于沈阳市浑南区教育局，为全额拨款的事业单位公办初级中学。我单位贯彻执行国家和省市区教育方针、政策，接收本地学区的小学毕业生，完成为期三年的初中义务教育教学任务，为上级学校及社会培养德智体美等方面合格的毕业生。在此过程中，我单位根据省市区财政部门的要求，拟订本单位财政预算报告，严格按照上级财务政策实施完成上级财政拨款的支出，形成本单位的决算。</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辽宁省沈阳市浑南区第一初级中学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沈阳市浑南区第一初级中学是纳入浑南区教育局2024年度决算编制范围的二级预算单位，本单位无下设机构。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1152.94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1125.87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97.65</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1125.87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25.27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2.19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主要是门窗改造工程款13.69万元、考务费10.9万元、办公设备购置0.68万元等收入。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1.81</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0.16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主要是2021年教育事业发展捐赠款1.63万元、2023年省长杯校园足球联赛补助费0.18万元等。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增加88.47万元，增长8.31%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本年度在编教师人数增加，学生人数增加，人员经费和生均经费相应增加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1152.94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747.25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64.81</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工资福利支出740.03万元；商品和服务支出6.67万元；对个人和家庭的补助0.55万元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405.69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35.19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主要包括教师绩效196.02万元、城乡义务教育补助公用经费109.94万元、城乡义务教育补助经费35.56万元、区聘教师经费25.77万元等业务支出。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增加90.09万元，增长8.48%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教师人数增加及社保费基数在7月份调整导致人员经费增加、学生人数增加导致生均经费相应增加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减少1.63万元，降低100.00%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上一年度产生的赛艇训练设备质保金经验收合格后本年度支付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1125.87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747.25</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378.62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增加160.30万元，增长16.60%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教师人数增加及社保费基数在7月份调整导致人员经费增加、学生人数增加导致生均经费相应增加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109.03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72.37</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2024年度一般公共预算财政拨款支出1125.87万元。按支出功能分类科目分，包括：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1.教育支出1125.32万元，具体包括：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初中教育（项）1125.32万元,主要是工资福利740.03万元、商品和服务377.70万元等支出，完成年初预算的109.26%，决算数与年初预算数存在差异的主要原因是完全按照预算执行，决算数与预算数差异主要是工资福利支出增加导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2.社会保障和就业支出0.55万元，具体包括：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0.55万元,主要是事业单位离退休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747.25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740.58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6.67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本单位无此项支出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1032.61万元。其中，一般公共预算资金1032.61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0个；得分在60分（含）至80分、等级为“中”的项目有0个；得分在60分以下、等级为“差”的项目有0个。各项目自评发现，部分项目存在低效资金问题，下一步将采取以下措施加以改进：继续加强资金管理，发挥资金效益。</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16.教育支出（类）普通教育（款）中学教育（项）：反映各部门举办的中学教育支出。政府各部门对社会组织等举办的中学的资助，如捐赠、补贴等。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1,125.87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1,152.40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25.27</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0.55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1,151.13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1,152.94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1.81</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1,152.94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1,152.94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1,151.13</w:t>
            </w:r>
          </w:p>
        </w:tc>
        <w:tc>
          <w:tcPr>
            <w:tcW w:w="960" w:type="dxa"/>
            <w:tcBorders/>
            <w:vAlign w:val="center"/>
          </w:tcPr>
          <w:p>
            <w:pPr>
              <w:jc w:val="right"/>
            </w:pPr>
            <w:r>
              <w:rPr>
                <w:rFonts w:ascii="宋体" w:eastAsia="宋体" w:hAnsi="宋体" w:cs="宋体"/>
                <w:b/>
                <w:i w:val="0"/>
                <w:color w:val="000000"/>
                <w:sz w:val="13"/>
              </w:rPr>
              <w:t xml:space="preserve">1,125.87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25.27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1,150.59</w:t>
            </w:r>
          </w:p>
        </w:tc>
        <w:tc>
          <w:tcPr>
            <w:tcW w:w="960" w:type="dxa"/>
            <w:tcBorders/>
            <w:vAlign w:val="center"/>
          </w:tcPr>
          <w:p>
            <w:pPr>
              <w:jc w:val="right"/>
            </w:pPr>
            <w:r>
              <w:rPr>
                <w:rFonts w:ascii="宋体" w:eastAsia="宋体" w:hAnsi="宋体" w:cs="宋体"/>
                <w:b w:val="0"/>
                <w:i w:val="0"/>
                <w:color w:val="000000"/>
                <w:sz w:val="13"/>
              </w:rPr>
              <w:t xml:space="preserve">1,125.32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25.27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1,150.59</w:t>
            </w:r>
          </w:p>
        </w:tc>
        <w:tc>
          <w:tcPr>
            <w:tcW w:w="960" w:type="dxa"/>
            <w:tcBorders/>
            <w:vAlign w:val="center"/>
          </w:tcPr>
          <w:p>
            <w:pPr>
              <w:jc w:val="right"/>
            </w:pPr>
            <w:r>
              <w:rPr>
                <w:rFonts w:ascii="宋体" w:eastAsia="宋体" w:hAnsi="宋体" w:cs="宋体"/>
                <w:b w:val="0"/>
                <w:i w:val="0"/>
                <w:color w:val="000000"/>
                <w:sz w:val="13"/>
              </w:rPr>
              <w:t xml:space="preserve">1,125.32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25.27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1,125.32</w:t>
            </w:r>
          </w:p>
        </w:tc>
        <w:tc>
          <w:tcPr>
            <w:tcW w:w="960" w:type="dxa"/>
            <w:tcBorders/>
            <w:vAlign w:val="center"/>
          </w:tcPr>
          <w:p>
            <w:pPr>
              <w:jc w:val="right"/>
            </w:pPr>
            <w:r>
              <w:rPr>
                <w:rFonts w:ascii="宋体" w:eastAsia="宋体" w:hAnsi="宋体" w:cs="宋体"/>
                <w:b w:val="0"/>
                <w:i w:val="0"/>
                <w:color w:val="000000"/>
                <w:sz w:val="13"/>
              </w:rPr>
              <w:t xml:space="preserve">1,125.32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25.27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25.27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1,152.94</w:t>
            </w:r>
          </w:p>
        </w:tc>
        <w:tc>
          <w:tcPr>
            <w:tcW w:w="1060" w:type="dxa"/>
            <w:tcBorders/>
            <w:vAlign w:val="center"/>
          </w:tcPr>
          <w:p>
            <w:pPr>
              <w:jc w:val="right"/>
            </w:pPr>
            <w:r>
              <w:rPr>
                <w:rFonts w:ascii="宋体" w:eastAsia="宋体" w:hAnsi="宋体" w:cs="宋体"/>
                <w:b/>
                <w:i w:val="0"/>
                <w:color w:val="000000"/>
                <w:sz w:val="14"/>
              </w:rPr>
              <w:t xml:space="preserve">747.25</w:t>
            </w:r>
          </w:p>
        </w:tc>
        <w:tc>
          <w:tcPr>
            <w:tcW w:w="1060" w:type="dxa"/>
            <w:tcBorders/>
            <w:vAlign w:val="center"/>
          </w:tcPr>
          <w:p>
            <w:pPr>
              <w:jc w:val="right"/>
            </w:pPr>
            <w:r>
              <w:rPr>
                <w:rFonts w:ascii="宋体" w:eastAsia="宋体" w:hAnsi="宋体" w:cs="宋体"/>
                <w:b/>
                <w:i w:val="0"/>
                <w:color w:val="000000"/>
                <w:sz w:val="14"/>
              </w:rPr>
              <w:t xml:space="preserve">405.69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1,152.40</w:t>
            </w:r>
          </w:p>
        </w:tc>
        <w:tc>
          <w:tcPr>
            <w:tcW w:w="1060" w:type="dxa"/>
            <w:tcBorders/>
            <w:vAlign w:val="center"/>
          </w:tcPr>
          <w:p>
            <w:pPr>
              <w:jc w:val="right"/>
            </w:pPr>
            <w:r>
              <w:rPr>
                <w:rFonts w:ascii="宋体" w:eastAsia="宋体" w:hAnsi="宋体" w:cs="宋体"/>
                <w:b w:val="0"/>
                <w:i w:val="0"/>
                <w:color w:val="000000"/>
                <w:sz w:val="14"/>
              </w:rPr>
              <w:t xml:space="preserve">746.70</w:t>
            </w:r>
          </w:p>
        </w:tc>
        <w:tc>
          <w:tcPr>
            <w:tcW w:w="1060" w:type="dxa"/>
            <w:tcBorders/>
            <w:vAlign w:val="center"/>
          </w:tcPr>
          <w:p>
            <w:pPr>
              <w:jc w:val="right"/>
            </w:pPr>
            <w:r>
              <w:rPr>
                <w:rFonts w:ascii="宋体" w:eastAsia="宋体" w:hAnsi="宋体" w:cs="宋体"/>
                <w:b w:val="0"/>
                <w:i w:val="0"/>
                <w:color w:val="000000"/>
                <w:sz w:val="14"/>
              </w:rPr>
              <w:t xml:space="preserve">405.70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1,152.40</w:t>
            </w:r>
          </w:p>
        </w:tc>
        <w:tc>
          <w:tcPr>
            <w:tcW w:w="1060" w:type="dxa"/>
            <w:tcBorders/>
            <w:vAlign w:val="center"/>
          </w:tcPr>
          <w:p>
            <w:pPr>
              <w:jc w:val="right"/>
            </w:pPr>
            <w:r>
              <w:rPr>
                <w:rFonts w:ascii="宋体" w:eastAsia="宋体" w:hAnsi="宋体" w:cs="宋体"/>
                <w:b w:val="0"/>
                <w:i w:val="0"/>
                <w:color w:val="000000"/>
                <w:sz w:val="14"/>
              </w:rPr>
              <w:t xml:space="preserve">746.70</w:t>
            </w:r>
          </w:p>
        </w:tc>
        <w:tc>
          <w:tcPr>
            <w:tcW w:w="1060" w:type="dxa"/>
            <w:tcBorders/>
            <w:vAlign w:val="center"/>
          </w:tcPr>
          <w:p>
            <w:pPr>
              <w:jc w:val="right"/>
            </w:pPr>
            <w:r>
              <w:rPr>
                <w:rFonts w:ascii="宋体" w:eastAsia="宋体" w:hAnsi="宋体" w:cs="宋体"/>
                <w:b w:val="0"/>
                <w:i w:val="0"/>
                <w:color w:val="000000"/>
                <w:sz w:val="14"/>
              </w:rPr>
              <w:t xml:space="preserve">405.70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1,125.32</w:t>
            </w:r>
          </w:p>
        </w:tc>
        <w:tc>
          <w:tcPr>
            <w:tcW w:w="1060" w:type="dxa"/>
            <w:tcBorders/>
            <w:vAlign w:val="center"/>
          </w:tcPr>
          <w:p>
            <w:pPr>
              <w:jc w:val="right"/>
            </w:pPr>
            <w:r>
              <w:rPr>
                <w:rFonts w:ascii="宋体" w:eastAsia="宋体" w:hAnsi="宋体" w:cs="宋体"/>
                <w:b w:val="0"/>
                <w:i w:val="0"/>
                <w:color w:val="000000"/>
                <w:sz w:val="14"/>
              </w:rPr>
              <w:t xml:space="preserve">746.70</w:t>
            </w:r>
          </w:p>
        </w:tc>
        <w:tc>
          <w:tcPr>
            <w:tcW w:w="1060" w:type="dxa"/>
            <w:tcBorders/>
            <w:vAlign w:val="center"/>
          </w:tcPr>
          <w:p>
            <w:pPr>
              <w:jc w:val="right"/>
            </w:pPr>
            <w:r>
              <w:rPr>
                <w:rFonts w:ascii="宋体" w:eastAsia="宋体" w:hAnsi="宋体" w:cs="宋体"/>
                <w:b w:val="0"/>
                <w:i w:val="0"/>
                <w:color w:val="000000"/>
                <w:sz w:val="14"/>
              </w:rPr>
              <w:t xml:space="preserve">378.62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27.08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1,125.87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1,125.32</w:t>
            </w:r>
          </w:p>
        </w:tc>
        <w:tc>
          <w:tcPr>
            <w:tcW w:w="1100" w:type="dxa"/>
            <w:tcBorders/>
            <w:vAlign w:val="center"/>
          </w:tcPr>
          <w:p>
            <w:pPr>
              <w:jc w:val="right"/>
            </w:pPr>
            <w:r>
              <w:rPr>
                <w:rFonts w:ascii="宋体" w:eastAsia="宋体" w:hAnsi="宋体" w:cs="宋体"/>
                <w:b w:val="0"/>
                <w:i w:val="0"/>
                <w:color w:val="000000"/>
                <w:sz w:val="14"/>
              </w:rPr>
              <w:t xml:space="preserve">1,125.32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0.55</w:t>
            </w:r>
          </w:p>
        </w:tc>
        <w:tc>
          <w:tcPr>
            <w:tcW w:w="1100" w:type="dxa"/>
            <w:tcBorders/>
            <w:vAlign w:val="center"/>
          </w:tcPr>
          <w:p>
            <w:pPr>
              <w:jc w:val="right"/>
            </w:pPr>
            <w:r>
              <w:rPr>
                <w:rFonts w:ascii="宋体" w:eastAsia="宋体" w:hAnsi="宋体" w:cs="宋体"/>
                <w:b w:val="0"/>
                <w:i w:val="0"/>
                <w:color w:val="000000"/>
                <w:sz w:val="14"/>
              </w:rPr>
              <w:t xml:space="preserve">0.55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1,125.87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1,125.87</w:t>
            </w:r>
          </w:p>
        </w:tc>
        <w:tc>
          <w:tcPr>
            <w:tcW w:w="1100" w:type="dxa"/>
            <w:tcBorders/>
            <w:vAlign w:val="center"/>
          </w:tcPr>
          <w:p>
            <w:pPr>
              <w:jc w:val="right"/>
            </w:pPr>
            <w:r>
              <w:rPr>
                <w:rFonts w:ascii="宋体" w:eastAsia="宋体" w:hAnsi="宋体" w:cs="宋体"/>
                <w:b w:val="0"/>
                <w:i w:val="0"/>
                <w:color w:val="000000"/>
                <w:sz w:val="14"/>
              </w:rPr>
              <w:t xml:space="preserve">1,125.87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1,125.87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1,125.87</w:t>
            </w:r>
          </w:p>
        </w:tc>
        <w:tc>
          <w:tcPr>
            <w:tcW w:w="1100" w:type="dxa"/>
            <w:tcBorders/>
            <w:vAlign w:val="center"/>
          </w:tcPr>
          <w:p>
            <w:pPr>
              <w:jc w:val="right"/>
            </w:pPr>
            <w:r>
              <w:rPr>
                <w:rFonts w:ascii="宋体" w:eastAsia="宋体" w:hAnsi="宋体" w:cs="宋体"/>
                <w:b w:val="0"/>
                <w:i w:val="0"/>
                <w:color w:val="000000"/>
                <w:sz w:val="14"/>
              </w:rPr>
              <w:t xml:space="preserve">1,125.87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1,125.87</w:t>
            </w:r>
          </w:p>
        </w:tc>
        <w:tc>
          <w:tcPr>
            <w:tcW w:w="1780" w:type="dxa"/>
            <w:tcBorders/>
            <w:vAlign w:val="center"/>
          </w:tcPr>
          <w:p>
            <w:pPr>
              <w:jc w:val="right"/>
            </w:pPr>
            <w:r>
              <w:rPr>
                <w:rFonts w:ascii="宋体" w:eastAsia="宋体" w:hAnsi="宋体" w:cs="宋体"/>
                <w:b/>
                <w:i w:val="0"/>
                <w:color w:val="000000"/>
                <w:sz w:val="18"/>
              </w:rPr>
              <w:t xml:space="preserve">747.25</w:t>
            </w:r>
          </w:p>
        </w:tc>
        <w:tc>
          <w:tcPr>
            <w:tcW w:w="1772" w:type="dxa"/>
            <w:tcBorders/>
            <w:vAlign w:val="center"/>
          </w:tcPr>
          <w:p>
            <w:pPr>
              <w:jc w:val="right"/>
            </w:pPr>
            <w:r>
              <w:rPr>
                <w:rFonts w:ascii="宋体" w:eastAsia="宋体" w:hAnsi="宋体" w:cs="宋体"/>
                <w:b/>
                <w:i w:val="0"/>
                <w:color w:val="000000"/>
                <w:sz w:val="18"/>
              </w:rPr>
              <w:t xml:space="preserve">378.62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1,125.32</w:t>
            </w:r>
          </w:p>
        </w:tc>
        <w:tc>
          <w:tcPr>
            <w:tcW w:w="1780" w:type="dxa"/>
            <w:tcBorders/>
            <w:vAlign w:val="center"/>
          </w:tcPr>
          <w:p>
            <w:pPr>
              <w:jc w:val="right"/>
            </w:pPr>
            <w:r>
              <w:rPr>
                <w:rFonts w:ascii="宋体" w:eastAsia="宋体" w:hAnsi="宋体" w:cs="宋体"/>
                <w:b w:val="0"/>
                <w:i w:val="0"/>
                <w:color w:val="000000"/>
                <w:sz w:val="18"/>
              </w:rPr>
              <w:t xml:space="preserve">746.70</w:t>
            </w:r>
          </w:p>
        </w:tc>
        <w:tc>
          <w:tcPr>
            <w:tcW w:w="1772" w:type="dxa"/>
            <w:tcBorders/>
            <w:vAlign w:val="center"/>
          </w:tcPr>
          <w:p>
            <w:pPr>
              <w:jc w:val="right"/>
            </w:pPr>
            <w:r>
              <w:rPr>
                <w:rFonts w:ascii="宋体" w:eastAsia="宋体" w:hAnsi="宋体" w:cs="宋体"/>
                <w:b w:val="0"/>
                <w:i w:val="0"/>
                <w:color w:val="000000"/>
                <w:sz w:val="18"/>
              </w:rPr>
              <w:t xml:space="preserve">378.62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1,125.32</w:t>
            </w:r>
          </w:p>
        </w:tc>
        <w:tc>
          <w:tcPr>
            <w:tcW w:w="1780" w:type="dxa"/>
            <w:tcBorders/>
            <w:vAlign w:val="center"/>
          </w:tcPr>
          <w:p>
            <w:pPr>
              <w:jc w:val="right"/>
            </w:pPr>
            <w:r>
              <w:rPr>
                <w:rFonts w:ascii="宋体" w:eastAsia="宋体" w:hAnsi="宋体" w:cs="宋体"/>
                <w:b w:val="0"/>
                <w:i w:val="0"/>
                <w:color w:val="000000"/>
                <w:sz w:val="18"/>
              </w:rPr>
              <w:t xml:space="preserve">746.70</w:t>
            </w:r>
          </w:p>
        </w:tc>
        <w:tc>
          <w:tcPr>
            <w:tcW w:w="1772" w:type="dxa"/>
            <w:tcBorders/>
            <w:vAlign w:val="center"/>
          </w:tcPr>
          <w:p>
            <w:pPr>
              <w:jc w:val="right"/>
            </w:pPr>
            <w:r>
              <w:rPr>
                <w:rFonts w:ascii="宋体" w:eastAsia="宋体" w:hAnsi="宋体" w:cs="宋体"/>
                <w:b w:val="0"/>
                <w:i w:val="0"/>
                <w:color w:val="000000"/>
                <w:sz w:val="18"/>
              </w:rPr>
              <w:t xml:space="preserve">378.62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1,125.32</w:t>
            </w:r>
          </w:p>
        </w:tc>
        <w:tc>
          <w:tcPr>
            <w:tcW w:w="1780" w:type="dxa"/>
            <w:tcBorders/>
            <w:vAlign w:val="center"/>
          </w:tcPr>
          <w:p>
            <w:pPr>
              <w:jc w:val="right"/>
            </w:pPr>
            <w:r>
              <w:rPr>
                <w:rFonts w:ascii="宋体" w:eastAsia="宋体" w:hAnsi="宋体" w:cs="宋体"/>
                <w:b w:val="0"/>
                <w:i w:val="0"/>
                <w:color w:val="000000"/>
                <w:sz w:val="18"/>
              </w:rPr>
              <w:t xml:space="preserve">746.70</w:t>
            </w:r>
          </w:p>
        </w:tc>
        <w:tc>
          <w:tcPr>
            <w:tcW w:w="1772" w:type="dxa"/>
            <w:tcBorders/>
            <w:vAlign w:val="center"/>
          </w:tcPr>
          <w:p>
            <w:pPr>
              <w:jc w:val="right"/>
            </w:pPr>
            <w:r>
              <w:rPr>
                <w:rFonts w:ascii="宋体" w:eastAsia="宋体" w:hAnsi="宋体" w:cs="宋体"/>
                <w:b w:val="0"/>
                <w:i w:val="0"/>
                <w:color w:val="000000"/>
                <w:sz w:val="18"/>
              </w:rPr>
              <w:t xml:space="preserve">378.62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740.03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6.67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279.40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94.62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21.29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8.87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188.46</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99.63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45.58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2.18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0.55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0.55</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6.67</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740.58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6.67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单位：辽宁省沈阳市浑南区第一初级中学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沈阳市浑南区第一初级中学-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沈阳市浑南区第一初级中学-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196.02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196.02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沈阳市浑南区第一初级中学-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沈阳市浑南区第一初级中学-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023004沈阳市浑南区第一初级中学-210112000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1032.61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1032.61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713.95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713.94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提高教学质量，保障教学工作顺畅。</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有利于促进社会公平、正义</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社会性</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提高教师队伍普通话水平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参加培训人员的满意度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完善巡视巡察上下联动工作格局</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