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辽宁省沈阳市浑南区第一小学</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辽宁省沈阳市浑南区第一小学</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辽宁省沈阳市浑南区第一小学</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辽宁省沈阳市浑南区第一小学</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辽宁省沈阳市浑南区第一小学</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辽宁省沈阳市浑南区第一小学概况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贯彻执行国家财税方针、政策和有关法律、法规、规章及省有关要求，拟订市财税规划、政策和改革方案并组织实施。分析预测经济形势，提出运用财税政策实施宏观调控和综合平衡社会财力的建议。拟订和执行市与区、县（市）、开发区及企业的分配政策，完善鼓励公益事业发展的财税政策。</w:t>
        <w:br/>
        <w:t xml:space="preserve">    （二）起草本市财政、财务、会计管理的地方性法规和市政府规章草案，研究我市经济社会中的财税重大问题，围绕市委、市政府中心工作提出改进和完善政府管理、提高财政资金使用效益的建议。</w:t>
        <w:br/>
        <w:t xml:space="preserve">    组织教育教学、科学研究活动，保证教育教学质量。维护教职工利益，保障教职工合法权益，以教职工和学生的人生幸福和生命质量作为重点。制定学校发展规划，并抓好组织实施和落实情况。科学管理、合理使用学校的设施和经费，并积极筹措办学资金，改善办学条件。依法接受各级教育行政部门的检查指导和人民群众的监督。</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辽宁省沈阳市浑南区第一小学</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沈阳市浑南区第一小学是纳入浑南区教育局2024年度部门决算编制范围的二级预算单位，本单位无下设机构。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1974.28</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1967.82</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99.67</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1967.82</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1.16</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0.06</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主要是区教育局专户拨入学生储物柜、考务费资金等收入。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5.29</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0.27</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主要是教育事业发展捐赠款等。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减少41.59万元，降低2.06%</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公用经费减少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1973.30</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1510.19</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76.53</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工资福利支出1478.69万元；商品和服务支出31.50万元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463.11</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23.47</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主要包括教师绩效等业务支出。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减少37.29万元，降低1.85%</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严格管控资金，节约支出，压缩相关经费支出</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0.99</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主要是足球专项经费等原因形成的结余。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减少4.31万元，降低81.36%</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根据实际情况支付对应资金，结余资金后续支付</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1967.82</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1510.19</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457.63</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增加77.09万元，增长4.08%</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人员增资</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103.72</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79.60</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2024年度一般公共预算财政拨款支出1967.82万元。按支出功能分类科目分，包括：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1.教育支出1959.51万元，具体包括：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（1）教育支出（类）普通教育（款）小学教育（项）1929.27万元,主要是工资、保险等支出，完成年初预算的102%，决算数与年初预算数存在差异的主要原因是人员增加。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（2）教育支出（类）教育费附加安排的支出（款）其他教育费附加安排的支出（项）30.24万元,主要是电取暖等支出，完成年初预算的100%，决算数与年初预算数存在差异的主要原因是严格管控资金。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2.社会保障和就业支出8.31万元，具体包括：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机关事业单位职业年金缴费支出（项）8.31万元,主要是离职人员职业缴纳等支出，完成年初预算的100%，决算数与年初预算数存在差异的主要原因是当年有离职人员追加预算。</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无“三公”经费支出</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2024年无因公出国（境）任务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无出国任务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2024年无公务接待</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无公务接待</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2024年无公务用车</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无公务接待</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1510.19</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1478.69</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31.50</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我单位属于事业单位，无机关运行经费</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1.整体绩效自评情况及结果。</w:t>
        <w:br/>
        <w:t xml:space="preserve">    组织对1个单位开展整体绩效自评，涉及资金1897.18万元，自评平均分10分。附《部门（单位）整体绩效自评表》。</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自评得分在90分（含）以上、绩效等级为“优”的项目有4个。</w:t>
        <w:br/>
        <w:t xml:space="preserve">    3.部门重点评价情况及结果。</w:t>
        <w:br/>
        <w:t xml:space="preserve">    我部门组织对“基本支出公用经费(保基本民生)”“基本支出人员经费(刚性)”2 个项目开展了部门重点评价，涉及资金68.92万元（其中：一般公共预算资金68.92万元，政府性基金预算资金0万元，国有资本经营预算资金0万元）。评价平均分为10分，评级情况为优2个、良0个、中0个、差0个。其中，未委托第三方机构开展绩效评价。通过部门绩效评价发现主要存在以下问题：存在低效资金。下一步将采取以下措施加以改进：继续加强资金管理，发挥资金效益。</w:t>
        <w:br/>
        <w:t xml:space="preserve">    4.财政重点评价情况及结果。</w:t>
        <w:br/>
        <w:t xml:space="preserve">    该部门整体绩效自评效果较好，望你单位继续加强资金管理，发挥资金效益。</w:t>
        <w:br/>
        <w:t xml:space="preserve">    5.其他。</w:t>
        <w:br/>
        <w:t xml:space="preserve">    明确预算执行目标和规划，建立有效的预算执行监控机制，提高预算管理的效能，加强各部门之间的沟通和协调。</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教育支出（类）普通教育（款）小学教育（项）：反映各部门举办的小学教育支出。政府各部门对社会组织等举办的小学的资助，如捐赠、补贴等。</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单位：辽宁省沈阳市浑南区第一小学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1,967.82</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1,964.99</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1.16</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8.31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1,968.99</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1,973.30</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5.29</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0.99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1,974.28</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1,974.28</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单位：辽宁省沈阳市浑南区第一小学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1,968.99</w:t>
            </w:r>
          </w:p>
        </w:tc>
        <w:tc>
          <w:tcPr>
            <w:tcW w:w="960" w:type="dxa"/>
            <w:tcBorders/>
            <w:vAlign w:val="center"/>
          </w:tcPr>
          <w:p>
            <w:pPr>
              <w:jc w:val="right"/>
            </w:pPr>
            <w:r>
              <w:rPr>
                <w:rFonts w:ascii="宋体" w:eastAsia="宋体" w:hAnsi="宋体" w:cs="宋体"/>
                <w:b/>
                <w:i w:val="0"/>
                <w:color w:val="000000"/>
                <w:sz w:val="13"/>
              </w:rPr>
              <w:t xml:space="preserve">1,967.82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1.16</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1,960.67</w:t>
            </w:r>
          </w:p>
        </w:tc>
        <w:tc>
          <w:tcPr>
            <w:tcW w:w="960" w:type="dxa"/>
            <w:tcBorders/>
            <w:vAlign w:val="center"/>
          </w:tcPr>
          <w:p>
            <w:pPr>
              <w:jc w:val="right"/>
            </w:pPr>
            <w:r>
              <w:rPr>
                <w:rFonts w:ascii="宋体" w:eastAsia="宋体" w:hAnsi="宋体" w:cs="宋体"/>
                <w:b w:val="0"/>
                <w:i w:val="0"/>
                <w:color w:val="000000"/>
                <w:sz w:val="13"/>
              </w:rPr>
              <w:t xml:space="preserve">1,959.51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1.16</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w:t>
            </w:r>
          </w:p>
        </w:tc>
        <w:tc>
          <w:tcPr>
            <w:tcW w:w="3200" w:type="dxa"/>
            <w:tcBorders/>
            <w:vAlign w:val="center"/>
          </w:tcPr>
          <w:p>
            <w:pPr>
              <w:jc w:val="left"/>
            </w:pPr>
            <w:r>
              <w:rPr>
                <w:rFonts w:ascii="宋体" w:eastAsia="宋体" w:hAnsi="宋体" w:cs="宋体"/>
                <w:b w:val="0"/>
                <w:i w:val="0"/>
                <w:color w:val="000000"/>
                <w:sz w:val="13"/>
              </w:rPr>
              <w:t xml:space="preserve">普通教育</w:t>
            </w:r>
          </w:p>
        </w:tc>
        <w:tc>
          <w:tcPr>
            <w:tcW w:w="960" w:type="dxa"/>
            <w:tcBorders/>
            <w:vAlign w:val="center"/>
          </w:tcPr>
          <w:p>
            <w:pPr>
              <w:jc w:val="right"/>
            </w:pPr>
            <w:r>
              <w:rPr>
                <w:rFonts w:ascii="宋体" w:eastAsia="宋体" w:hAnsi="宋体" w:cs="宋体"/>
                <w:b w:val="0"/>
                <w:i w:val="0"/>
                <w:color w:val="000000"/>
                <w:sz w:val="13"/>
              </w:rPr>
              <w:t xml:space="preserve">1,930.43</w:t>
            </w:r>
          </w:p>
        </w:tc>
        <w:tc>
          <w:tcPr>
            <w:tcW w:w="960" w:type="dxa"/>
            <w:tcBorders/>
            <w:vAlign w:val="center"/>
          </w:tcPr>
          <w:p>
            <w:pPr>
              <w:jc w:val="right"/>
            </w:pPr>
            <w:r>
              <w:rPr>
                <w:rFonts w:ascii="宋体" w:eastAsia="宋体" w:hAnsi="宋体" w:cs="宋体"/>
                <w:b w:val="0"/>
                <w:i w:val="0"/>
                <w:color w:val="000000"/>
                <w:sz w:val="13"/>
              </w:rPr>
              <w:t xml:space="preserve">1,929.27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1.16</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2050202</w:t>
            </w:r>
          </w:p>
        </w:tc>
        <w:tc>
          <w:tcPr>
            <w:tcW w:w="3200" w:type="dxa"/>
            <w:tcBorders/>
            <w:vAlign w:val="center"/>
          </w:tcPr>
          <w:p>
            <w:pPr>
              <w:jc w:val="left"/>
            </w:pPr>
            <w:r>
              <w:rPr>
                <w:rFonts w:ascii="宋体" w:eastAsia="宋体" w:hAnsi="宋体" w:cs="宋体"/>
                <w:b w:val="0"/>
                <w:i w:val="0"/>
                <w:color w:val="000000"/>
                <w:sz w:val="13"/>
              </w:rPr>
              <w:t xml:space="preserve">小学教育</w:t>
            </w:r>
          </w:p>
        </w:tc>
        <w:tc>
          <w:tcPr>
            <w:tcW w:w="960" w:type="dxa"/>
            <w:tcBorders/>
            <w:vAlign w:val="center"/>
          </w:tcPr>
          <w:p>
            <w:pPr>
              <w:jc w:val="right"/>
            </w:pPr>
            <w:r>
              <w:rPr>
                <w:rFonts w:ascii="宋体" w:eastAsia="宋体" w:hAnsi="宋体" w:cs="宋体"/>
                <w:b w:val="0"/>
                <w:i w:val="0"/>
                <w:color w:val="000000"/>
                <w:sz w:val="13"/>
              </w:rPr>
              <w:t xml:space="preserve">1,929.27</w:t>
            </w:r>
          </w:p>
        </w:tc>
        <w:tc>
          <w:tcPr>
            <w:tcW w:w="960" w:type="dxa"/>
            <w:tcBorders/>
            <w:vAlign w:val="center"/>
          </w:tcPr>
          <w:p>
            <w:pPr>
              <w:jc w:val="right"/>
            </w:pPr>
            <w:r>
              <w:rPr>
                <w:rFonts w:ascii="宋体" w:eastAsia="宋体" w:hAnsi="宋体" w:cs="宋体"/>
                <w:b w:val="0"/>
                <w:i w:val="0"/>
                <w:color w:val="000000"/>
                <w:sz w:val="13"/>
              </w:rPr>
              <w:t xml:space="preserve">1,929.27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2050299</w:t>
            </w:r>
          </w:p>
        </w:tc>
        <w:tc>
          <w:tcPr>
            <w:tcW w:w="3200" w:type="dxa"/>
            <w:tcBorders/>
            <w:vAlign w:val="center"/>
          </w:tcPr>
          <w:p>
            <w:pPr>
              <w:jc w:val="left"/>
            </w:pPr>
            <w:r>
              <w:rPr>
                <w:rFonts w:ascii="宋体" w:eastAsia="宋体" w:hAnsi="宋体" w:cs="宋体"/>
                <w:b w:val="0"/>
                <w:i w:val="0"/>
                <w:color w:val="000000"/>
                <w:sz w:val="13"/>
              </w:rPr>
              <w:t xml:space="preserve">其他普通教育支出</w:t>
            </w:r>
          </w:p>
        </w:tc>
        <w:tc>
          <w:tcPr>
            <w:tcW w:w="960" w:type="dxa"/>
            <w:tcBorders/>
            <w:vAlign w:val="center"/>
          </w:tcPr>
          <w:p>
            <w:pPr>
              <w:jc w:val="right"/>
            </w:pPr>
            <w:r>
              <w:rPr>
                <w:rFonts w:ascii="宋体" w:eastAsia="宋体" w:hAnsi="宋体" w:cs="宋体"/>
                <w:b w:val="0"/>
                <w:i w:val="0"/>
                <w:color w:val="000000"/>
                <w:sz w:val="13"/>
              </w:rPr>
              <w:t xml:space="preserve">1.16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1.16</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w:t>
            </w:r>
          </w:p>
        </w:tc>
        <w:tc>
          <w:tcPr>
            <w:tcW w:w="3200" w:type="dxa"/>
            <w:tcBorders/>
            <w:vAlign w:val="center"/>
          </w:tcPr>
          <w:p>
            <w:pPr>
              <w:jc w:val="left"/>
            </w:pPr>
            <w:r>
              <w:rPr>
                <w:rFonts w:ascii="宋体" w:eastAsia="宋体" w:hAnsi="宋体" w:cs="宋体"/>
                <w:b w:val="0"/>
                <w:i w:val="0"/>
                <w:color w:val="000000"/>
                <w:sz w:val="13"/>
              </w:rPr>
              <w:t xml:space="preserve">教育费附加安排的支出</w:t>
            </w:r>
          </w:p>
        </w:tc>
        <w:tc>
          <w:tcPr>
            <w:tcW w:w="960" w:type="dxa"/>
            <w:tcBorders/>
            <w:vAlign w:val="center"/>
          </w:tcPr>
          <w:p>
            <w:pPr>
              <w:jc w:val="right"/>
            </w:pPr>
            <w:r>
              <w:rPr>
                <w:rFonts w:ascii="宋体" w:eastAsia="宋体" w:hAnsi="宋体" w:cs="宋体"/>
                <w:b w:val="0"/>
                <w:i w:val="0"/>
                <w:color w:val="000000"/>
                <w:sz w:val="13"/>
              </w:rPr>
              <w:t xml:space="preserve">30.24</w:t>
            </w:r>
          </w:p>
        </w:tc>
        <w:tc>
          <w:tcPr>
            <w:tcW w:w="960" w:type="dxa"/>
            <w:tcBorders/>
            <w:vAlign w:val="center"/>
          </w:tcPr>
          <w:p>
            <w:pPr>
              <w:jc w:val="right"/>
            </w:pPr>
            <w:r>
              <w:rPr>
                <w:rFonts w:ascii="宋体" w:eastAsia="宋体" w:hAnsi="宋体" w:cs="宋体"/>
                <w:b w:val="0"/>
                <w:i w:val="0"/>
                <w:color w:val="000000"/>
                <w:sz w:val="13"/>
              </w:rPr>
              <w:t xml:space="preserve">30.24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2050999</w:t>
            </w:r>
          </w:p>
        </w:tc>
        <w:tc>
          <w:tcPr>
            <w:tcW w:w="3200" w:type="dxa"/>
            <w:tcBorders/>
            <w:vAlign w:val="center"/>
          </w:tcPr>
          <w:p>
            <w:pPr>
              <w:jc w:val="left"/>
            </w:pPr>
            <w:r>
              <w:rPr>
                <w:rFonts w:ascii="宋体" w:eastAsia="宋体" w:hAnsi="宋体" w:cs="宋体"/>
                <w:b w:val="0"/>
                <w:i w:val="0"/>
                <w:color w:val="000000"/>
                <w:sz w:val="13"/>
              </w:rPr>
              <w:t xml:space="preserve">其他教育费附加安排的支出</w:t>
            </w:r>
          </w:p>
        </w:tc>
        <w:tc>
          <w:tcPr>
            <w:tcW w:w="960" w:type="dxa"/>
            <w:tcBorders/>
            <w:vAlign w:val="center"/>
          </w:tcPr>
          <w:p>
            <w:pPr>
              <w:jc w:val="right"/>
            </w:pPr>
            <w:r>
              <w:rPr>
                <w:rFonts w:ascii="宋体" w:eastAsia="宋体" w:hAnsi="宋体" w:cs="宋体"/>
                <w:b w:val="0"/>
                <w:i w:val="0"/>
                <w:color w:val="000000"/>
                <w:sz w:val="13"/>
              </w:rPr>
              <w:t xml:space="preserve">30.24</w:t>
            </w:r>
          </w:p>
        </w:tc>
        <w:tc>
          <w:tcPr>
            <w:tcW w:w="960" w:type="dxa"/>
            <w:tcBorders/>
            <w:vAlign w:val="center"/>
          </w:tcPr>
          <w:p>
            <w:pPr>
              <w:jc w:val="right"/>
            </w:pPr>
            <w:r>
              <w:rPr>
                <w:rFonts w:ascii="宋体" w:eastAsia="宋体" w:hAnsi="宋体" w:cs="宋体"/>
                <w:b w:val="0"/>
                <w:i w:val="0"/>
                <w:color w:val="000000"/>
                <w:sz w:val="13"/>
              </w:rPr>
              <w:t xml:space="preserve">30.24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8.31</w:t>
            </w:r>
          </w:p>
        </w:tc>
        <w:tc>
          <w:tcPr>
            <w:tcW w:w="960" w:type="dxa"/>
            <w:tcBorders/>
            <w:vAlign w:val="center"/>
          </w:tcPr>
          <w:p>
            <w:pPr>
              <w:jc w:val="right"/>
            </w:pPr>
            <w:r>
              <w:rPr>
                <w:rFonts w:ascii="宋体" w:eastAsia="宋体" w:hAnsi="宋体" w:cs="宋体"/>
                <w:b w:val="0"/>
                <w:i w:val="0"/>
                <w:color w:val="000000"/>
                <w:sz w:val="13"/>
              </w:rPr>
              <w:t xml:space="preserve">8.31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8.31</w:t>
            </w:r>
          </w:p>
        </w:tc>
        <w:tc>
          <w:tcPr>
            <w:tcW w:w="960" w:type="dxa"/>
            <w:tcBorders/>
            <w:vAlign w:val="center"/>
          </w:tcPr>
          <w:p>
            <w:pPr>
              <w:jc w:val="right"/>
            </w:pPr>
            <w:r>
              <w:rPr>
                <w:rFonts w:ascii="宋体" w:eastAsia="宋体" w:hAnsi="宋体" w:cs="宋体"/>
                <w:b w:val="0"/>
                <w:i w:val="0"/>
                <w:color w:val="000000"/>
                <w:sz w:val="13"/>
              </w:rPr>
              <w:t xml:space="preserve">8.31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8.31</w:t>
            </w:r>
          </w:p>
        </w:tc>
        <w:tc>
          <w:tcPr>
            <w:tcW w:w="960" w:type="dxa"/>
            <w:tcBorders/>
            <w:vAlign w:val="center"/>
          </w:tcPr>
          <w:p>
            <w:pPr>
              <w:jc w:val="right"/>
            </w:pPr>
            <w:r>
              <w:rPr>
                <w:rFonts w:ascii="宋体" w:eastAsia="宋体" w:hAnsi="宋体" w:cs="宋体"/>
                <w:b w:val="0"/>
                <w:i w:val="0"/>
                <w:color w:val="000000"/>
                <w:sz w:val="13"/>
              </w:rPr>
              <w:t xml:space="preserve">8.31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单位：辽宁省沈阳市浑南区第一小学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1,973.30</w:t>
            </w:r>
          </w:p>
        </w:tc>
        <w:tc>
          <w:tcPr>
            <w:tcW w:w="1060" w:type="dxa"/>
            <w:tcBorders/>
            <w:vAlign w:val="center"/>
          </w:tcPr>
          <w:p>
            <w:pPr>
              <w:jc w:val="right"/>
            </w:pPr>
            <w:r>
              <w:rPr>
                <w:rFonts w:ascii="宋体" w:eastAsia="宋体" w:hAnsi="宋体" w:cs="宋体"/>
                <w:b/>
                <w:i w:val="0"/>
                <w:color w:val="000000"/>
                <w:sz w:val="14"/>
              </w:rPr>
              <w:t xml:space="preserve">1,510.19</w:t>
            </w:r>
          </w:p>
        </w:tc>
        <w:tc>
          <w:tcPr>
            <w:tcW w:w="1060" w:type="dxa"/>
            <w:tcBorders/>
            <w:vAlign w:val="center"/>
          </w:tcPr>
          <w:p>
            <w:pPr>
              <w:jc w:val="right"/>
            </w:pPr>
            <w:r>
              <w:rPr>
                <w:rFonts w:ascii="宋体" w:eastAsia="宋体" w:hAnsi="宋体" w:cs="宋体"/>
                <w:b/>
                <w:i w:val="0"/>
                <w:color w:val="000000"/>
                <w:sz w:val="14"/>
              </w:rPr>
              <w:t xml:space="preserve">463.11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1,964.98</w:t>
            </w:r>
          </w:p>
        </w:tc>
        <w:tc>
          <w:tcPr>
            <w:tcW w:w="1060" w:type="dxa"/>
            <w:tcBorders/>
            <w:vAlign w:val="center"/>
          </w:tcPr>
          <w:p>
            <w:pPr>
              <w:jc w:val="right"/>
            </w:pPr>
            <w:r>
              <w:rPr>
                <w:rFonts w:ascii="宋体" w:eastAsia="宋体" w:hAnsi="宋体" w:cs="宋体"/>
                <w:b w:val="0"/>
                <w:i w:val="0"/>
                <w:color w:val="000000"/>
                <w:sz w:val="14"/>
              </w:rPr>
              <w:t xml:space="preserve">1,501.88</w:t>
            </w:r>
          </w:p>
        </w:tc>
        <w:tc>
          <w:tcPr>
            <w:tcW w:w="1060" w:type="dxa"/>
            <w:tcBorders/>
            <w:vAlign w:val="center"/>
          </w:tcPr>
          <w:p>
            <w:pPr>
              <w:jc w:val="right"/>
            </w:pPr>
            <w:r>
              <w:rPr>
                <w:rFonts w:ascii="宋体" w:eastAsia="宋体" w:hAnsi="宋体" w:cs="宋体"/>
                <w:b w:val="0"/>
                <w:i w:val="0"/>
                <w:color w:val="000000"/>
                <w:sz w:val="14"/>
              </w:rPr>
              <w:t xml:space="preserve">463.10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w:t>
            </w:r>
          </w:p>
        </w:tc>
        <w:tc>
          <w:tcPr>
            <w:tcW w:w="3440" w:type="dxa"/>
            <w:tcBorders/>
            <w:vAlign w:val="center"/>
          </w:tcPr>
          <w:p>
            <w:pPr>
              <w:jc w:val="left"/>
            </w:pPr>
            <w:r>
              <w:rPr>
                <w:rFonts w:ascii="宋体" w:eastAsia="宋体" w:hAnsi="宋体" w:cs="宋体"/>
                <w:b w:val="0"/>
                <w:i w:val="0"/>
                <w:color w:val="000000"/>
                <w:sz w:val="14"/>
              </w:rPr>
              <w:t xml:space="preserve">普通教育</w:t>
            </w:r>
          </w:p>
        </w:tc>
        <w:tc>
          <w:tcPr>
            <w:tcW w:w="1060" w:type="dxa"/>
            <w:tcBorders/>
            <w:vAlign w:val="center"/>
          </w:tcPr>
          <w:p>
            <w:pPr>
              <w:jc w:val="right"/>
            </w:pPr>
            <w:r>
              <w:rPr>
                <w:rFonts w:ascii="宋体" w:eastAsia="宋体" w:hAnsi="宋体" w:cs="宋体"/>
                <w:b w:val="0"/>
                <w:i w:val="0"/>
                <w:color w:val="000000"/>
                <w:sz w:val="14"/>
              </w:rPr>
              <w:t xml:space="preserve">1,934.74</w:t>
            </w:r>
          </w:p>
        </w:tc>
        <w:tc>
          <w:tcPr>
            <w:tcW w:w="1060" w:type="dxa"/>
            <w:tcBorders/>
            <w:vAlign w:val="center"/>
          </w:tcPr>
          <w:p>
            <w:pPr>
              <w:jc w:val="right"/>
            </w:pPr>
            <w:r>
              <w:rPr>
                <w:rFonts w:ascii="宋体" w:eastAsia="宋体" w:hAnsi="宋体" w:cs="宋体"/>
                <w:b w:val="0"/>
                <w:i w:val="0"/>
                <w:color w:val="000000"/>
                <w:sz w:val="14"/>
              </w:rPr>
              <w:t xml:space="preserve">1,501.88</w:t>
            </w:r>
          </w:p>
        </w:tc>
        <w:tc>
          <w:tcPr>
            <w:tcW w:w="1060" w:type="dxa"/>
            <w:tcBorders/>
            <w:vAlign w:val="center"/>
          </w:tcPr>
          <w:p>
            <w:pPr>
              <w:jc w:val="right"/>
            </w:pPr>
            <w:r>
              <w:rPr>
                <w:rFonts w:ascii="宋体" w:eastAsia="宋体" w:hAnsi="宋体" w:cs="宋体"/>
                <w:b w:val="0"/>
                <w:i w:val="0"/>
                <w:color w:val="000000"/>
                <w:sz w:val="14"/>
              </w:rPr>
              <w:t xml:space="preserve">432.86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2050202</w:t>
            </w:r>
          </w:p>
        </w:tc>
        <w:tc>
          <w:tcPr>
            <w:tcW w:w="3440" w:type="dxa"/>
            <w:tcBorders/>
            <w:vAlign w:val="center"/>
          </w:tcPr>
          <w:p>
            <w:pPr>
              <w:jc w:val="left"/>
            </w:pPr>
            <w:r>
              <w:rPr>
                <w:rFonts w:ascii="宋体" w:eastAsia="宋体" w:hAnsi="宋体" w:cs="宋体"/>
                <w:b w:val="0"/>
                <w:i w:val="0"/>
                <w:color w:val="000000"/>
                <w:sz w:val="14"/>
              </w:rPr>
              <w:t xml:space="preserve">小学教育</w:t>
            </w:r>
          </w:p>
        </w:tc>
        <w:tc>
          <w:tcPr>
            <w:tcW w:w="1060" w:type="dxa"/>
            <w:tcBorders/>
            <w:vAlign w:val="center"/>
          </w:tcPr>
          <w:p>
            <w:pPr>
              <w:jc w:val="right"/>
            </w:pPr>
            <w:r>
              <w:rPr>
                <w:rFonts w:ascii="宋体" w:eastAsia="宋体" w:hAnsi="宋体" w:cs="宋体"/>
                <w:b w:val="0"/>
                <w:i w:val="0"/>
                <w:color w:val="000000"/>
                <w:sz w:val="14"/>
              </w:rPr>
              <w:t xml:space="preserve">1,929.27</w:t>
            </w:r>
          </w:p>
        </w:tc>
        <w:tc>
          <w:tcPr>
            <w:tcW w:w="1060" w:type="dxa"/>
            <w:tcBorders/>
            <w:vAlign w:val="center"/>
          </w:tcPr>
          <w:p>
            <w:pPr>
              <w:jc w:val="right"/>
            </w:pPr>
            <w:r>
              <w:rPr>
                <w:rFonts w:ascii="宋体" w:eastAsia="宋体" w:hAnsi="宋体" w:cs="宋体"/>
                <w:b w:val="0"/>
                <w:i w:val="0"/>
                <w:color w:val="000000"/>
                <w:sz w:val="14"/>
              </w:rPr>
              <w:t xml:space="preserve">1,501.88</w:t>
            </w:r>
          </w:p>
        </w:tc>
        <w:tc>
          <w:tcPr>
            <w:tcW w:w="1060" w:type="dxa"/>
            <w:tcBorders/>
            <w:vAlign w:val="center"/>
          </w:tcPr>
          <w:p>
            <w:pPr>
              <w:jc w:val="right"/>
            </w:pPr>
            <w:r>
              <w:rPr>
                <w:rFonts w:ascii="宋体" w:eastAsia="宋体" w:hAnsi="宋体" w:cs="宋体"/>
                <w:b w:val="0"/>
                <w:i w:val="0"/>
                <w:color w:val="000000"/>
                <w:sz w:val="14"/>
              </w:rPr>
              <w:t xml:space="preserve">427.39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2050299</w:t>
            </w:r>
          </w:p>
        </w:tc>
        <w:tc>
          <w:tcPr>
            <w:tcW w:w="3440" w:type="dxa"/>
            <w:tcBorders/>
            <w:vAlign w:val="center"/>
          </w:tcPr>
          <w:p>
            <w:pPr>
              <w:jc w:val="left"/>
            </w:pPr>
            <w:r>
              <w:rPr>
                <w:rFonts w:ascii="宋体" w:eastAsia="宋体" w:hAnsi="宋体" w:cs="宋体"/>
                <w:b w:val="0"/>
                <w:i w:val="0"/>
                <w:color w:val="000000"/>
                <w:sz w:val="14"/>
              </w:rPr>
              <w:t xml:space="preserve">其他普通教育支出</w:t>
            </w:r>
          </w:p>
        </w:tc>
        <w:tc>
          <w:tcPr>
            <w:tcW w:w="1060" w:type="dxa"/>
            <w:tcBorders/>
            <w:vAlign w:val="center"/>
          </w:tcPr>
          <w:p>
            <w:pPr>
              <w:jc w:val="right"/>
            </w:pPr>
            <w:r>
              <w:rPr>
                <w:rFonts w:ascii="宋体" w:eastAsia="宋体" w:hAnsi="宋体" w:cs="宋体"/>
                <w:b w:val="0"/>
                <w:i w:val="0"/>
                <w:color w:val="000000"/>
                <w:sz w:val="14"/>
              </w:rPr>
              <w:t xml:space="preserve">5.47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5.47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w:t>
            </w:r>
          </w:p>
        </w:tc>
        <w:tc>
          <w:tcPr>
            <w:tcW w:w="3440" w:type="dxa"/>
            <w:tcBorders/>
            <w:vAlign w:val="center"/>
          </w:tcPr>
          <w:p>
            <w:pPr>
              <w:jc w:val="left"/>
            </w:pPr>
            <w:r>
              <w:rPr>
                <w:rFonts w:ascii="宋体" w:eastAsia="宋体" w:hAnsi="宋体" w:cs="宋体"/>
                <w:b w:val="0"/>
                <w:i w:val="0"/>
                <w:color w:val="000000"/>
                <w:sz w:val="14"/>
              </w:rPr>
              <w:t xml:space="preserve">教育费附加安排的支出</w:t>
            </w:r>
          </w:p>
        </w:tc>
        <w:tc>
          <w:tcPr>
            <w:tcW w:w="1060" w:type="dxa"/>
            <w:tcBorders/>
            <w:vAlign w:val="center"/>
          </w:tcPr>
          <w:p>
            <w:pPr>
              <w:jc w:val="right"/>
            </w:pPr>
            <w:r>
              <w:rPr>
                <w:rFonts w:ascii="宋体" w:eastAsia="宋体" w:hAnsi="宋体" w:cs="宋体"/>
                <w:b w:val="0"/>
                <w:i w:val="0"/>
                <w:color w:val="000000"/>
                <w:sz w:val="14"/>
              </w:rPr>
              <w:t xml:space="preserve">30.24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30.24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2050999</w:t>
            </w:r>
          </w:p>
        </w:tc>
        <w:tc>
          <w:tcPr>
            <w:tcW w:w="3440" w:type="dxa"/>
            <w:tcBorders/>
            <w:vAlign w:val="center"/>
          </w:tcPr>
          <w:p>
            <w:pPr>
              <w:jc w:val="left"/>
            </w:pPr>
            <w:r>
              <w:rPr>
                <w:rFonts w:ascii="宋体" w:eastAsia="宋体" w:hAnsi="宋体" w:cs="宋体"/>
                <w:b w:val="0"/>
                <w:i w:val="0"/>
                <w:color w:val="000000"/>
                <w:sz w:val="14"/>
              </w:rPr>
              <w:t xml:space="preserve">其他教育费附加安排的支出</w:t>
            </w:r>
          </w:p>
        </w:tc>
        <w:tc>
          <w:tcPr>
            <w:tcW w:w="1060" w:type="dxa"/>
            <w:tcBorders/>
            <w:vAlign w:val="center"/>
          </w:tcPr>
          <w:p>
            <w:pPr>
              <w:jc w:val="right"/>
            </w:pPr>
            <w:r>
              <w:rPr>
                <w:rFonts w:ascii="宋体" w:eastAsia="宋体" w:hAnsi="宋体" w:cs="宋体"/>
                <w:b w:val="0"/>
                <w:i w:val="0"/>
                <w:color w:val="000000"/>
                <w:sz w:val="14"/>
              </w:rPr>
              <w:t xml:space="preserve">30.24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30.24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8.31</w:t>
            </w:r>
          </w:p>
        </w:tc>
        <w:tc>
          <w:tcPr>
            <w:tcW w:w="1060" w:type="dxa"/>
            <w:tcBorders/>
            <w:vAlign w:val="center"/>
          </w:tcPr>
          <w:p>
            <w:pPr>
              <w:jc w:val="right"/>
            </w:pPr>
            <w:r>
              <w:rPr>
                <w:rFonts w:ascii="宋体" w:eastAsia="宋体" w:hAnsi="宋体" w:cs="宋体"/>
                <w:b w:val="0"/>
                <w:i w:val="0"/>
                <w:color w:val="000000"/>
                <w:sz w:val="14"/>
              </w:rPr>
              <w:t xml:space="preserve">8.31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8.31</w:t>
            </w:r>
          </w:p>
        </w:tc>
        <w:tc>
          <w:tcPr>
            <w:tcW w:w="1060" w:type="dxa"/>
            <w:tcBorders/>
            <w:vAlign w:val="center"/>
          </w:tcPr>
          <w:p>
            <w:pPr>
              <w:jc w:val="right"/>
            </w:pPr>
            <w:r>
              <w:rPr>
                <w:rFonts w:ascii="宋体" w:eastAsia="宋体" w:hAnsi="宋体" w:cs="宋体"/>
                <w:b w:val="0"/>
                <w:i w:val="0"/>
                <w:color w:val="000000"/>
                <w:sz w:val="14"/>
              </w:rPr>
              <w:t xml:space="preserve">8.31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8.31</w:t>
            </w:r>
          </w:p>
        </w:tc>
        <w:tc>
          <w:tcPr>
            <w:tcW w:w="1060" w:type="dxa"/>
            <w:tcBorders/>
            <w:vAlign w:val="center"/>
          </w:tcPr>
          <w:p>
            <w:pPr>
              <w:jc w:val="right"/>
            </w:pPr>
            <w:r>
              <w:rPr>
                <w:rFonts w:ascii="宋体" w:eastAsia="宋体" w:hAnsi="宋体" w:cs="宋体"/>
                <w:b w:val="0"/>
                <w:i w:val="0"/>
                <w:color w:val="000000"/>
                <w:sz w:val="14"/>
              </w:rPr>
              <w:t xml:space="preserve">8.31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单位：辽宁省沈阳市浑南区第一小学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1,967.82</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1,959.51</w:t>
            </w:r>
          </w:p>
        </w:tc>
        <w:tc>
          <w:tcPr>
            <w:tcW w:w="1100" w:type="dxa"/>
            <w:tcBorders/>
            <w:vAlign w:val="center"/>
          </w:tcPr>
          <w:p>
            <w:pPr>
              <w:jc w:val="right"/>
            </w:pPr>
            <w:r>
              <w:rPr>
                <w:rFonts w:ascii="宋体" w:eastAsia="宋体" w:hAnsi="宋体" w:cs="宋体"/>
                <w:b w:val="0"/>
                <w:i w:val="0"/>
                <w:color w:val="000000"/>
                <w:sz w:val="14"/>
              </w:rPr>
              <w:t xml:space="preserve">1,959.51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8.31</w:t>
            </w:r>
          </w:p>
        </w:tc>
        <w:tc>
          <w:tcPr>
            <w:tcW w:w="1100" w:type="dxa"/>
            <w:tcBorders/>
            <w:vAlign w:val="center"/>
          </w:tcPr>
          <w:p>
            <w:pPr>
              <w:jc w:val="right"/>
            </w:pPr>
            <w:r>
              <w:rPr>
                <w:rFonts w:ascii="宋体" w:eastAsia="宋体" w:hAnsi="宋体" w:cs="宋体"/>
                <w:b w:val="0"/>
                <w:i w:val="0"/>
                <w:color w:val="000000"/>
                <w:sz w:val="14"/>
              </w:rPr>
              <w:t xml:space="preserve">8.31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1,967.82</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1,967.82</w:t>
            </w:r>
          </w:p>
        </w:tc>
        <w:tc>
          <w:tcPr>
            <w:tcW w:w="1100" w:type="dxa"/>
            <w:tcBorders/>
            <w:vAlign w:val="center"/>
          </w:tcPr>
          <w:p>
            <w:pPr>
              <w:jc w:val="right"/>
            </w:pPr>
            <w:r>
              <w:rPr>
                <w:rFonts w:ascii="宋体" w:eastAsia="宋体" w:hAnsi="宋体" w:cs="宋体"/>
                <w:b w:val="0"/>
                <w:i w:val="0"/>
                <w:color w:val="000000"/>
                <w:sz w:val="14"/>
              </w:rPr>
              <w:t xml:space="preserve">1,967.82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1,967.82</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1,967.82</w:t>
            </w:r>
          </w:p>
        </w:tc>
        <w:tc>
          <w:tcPr>
            <w:tcW w:w="1100" w:type="dxa"/>
            <w:tcBorders/>
            <w:vAlign w:val="center"/>
          </w:tcPr>
          <w:p>
            <w:pPr>
              <w:jc w:val="right"/>
            </w:pPr>
            <w:r>
              <w:rPr>
                <w:rFonts w:ascii="宋体" w:eastAsia="宋体" w:hAnsi="宋体" w:cs="宋体"/>
                <w:b w:val="0"/>
                <w:i w:val="0"/>
                <w:color w:val="000000"/>
                <w:sz w:val="14"/>
              </w:rPr>
              <w:t xml:space="preserve">1,967.82</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单位：辽宁省沈阳市浑南区第一小学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1,967.82</w:t>
            </w:r>
          </w:p>
        </w:tc>
        <w:tc>
          <w:tcPr>
            <w:tcW w:w="1780" w:type="dxa"/>
            <w:tcBorders/>
            <w:vAlign w:val="center"/>
          </w:tcPr>
          <w:p>
            <w:pPr>
              <w:jc w:val="right"/>
            </w:pPr>
            <w:r>
              <w:rPr>
                <w:rFonts w:ascii="宋体" w:eastAsia="宋体" w:hAnsi="宋体" w:cs="宋体"/>
                <w:b/>
                <w:i w:val="0"/>
                <w:color w:val="000000"/>
                <w:sz w:val="18"/>
              </w:rPr>
              <w:t xml:space="preserve">1,510.19</w:t>
            </w:r>
          </w:p>
        </w:tc>
        <w:tc>
          <w:tcPr>
            <w:tcW w:w="1772" w:type="dxa"/>
            <w:tcBorders/>
            <w:vAlign w:val="center"/>
          </w:tcPr>
          <w:p>
            <w:pPr>
              <w:jc w:val="right"/>
            </w:pPr>
            <w:r>
              <w:rPr>
                <w:rFonts w:ascii="宋体" w:eastAsia="宋体" w:hAnsi="宋体" w:cs="宋体"/>
                <w:b/>
                <w:i w:val="0"/>
                <w:color w:val="000000"/>
                <w:sz w:val="18"/>
              </w:rPr>
              <w:t xml:space="preserve">457.63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1,959.51</w:t>
            </w:r>
          </w:p>
        </w:tc>
        <w:tc>
          <w:tcPr>
            <w:tcW w:w="1780" w:type="dxa"/>
            <w:tcBorders/>
            <w:vAlign w:val="center"/>
          </w:tcPr>
          <w:p>
            <w:pPr>
              <w:jc w:val="right"/>
            </w:pPr>
            <w:r>
              <w:rPr>
                <w:rFonts w:ascii="宋体" w:eastAsia="宋体" w:hAnsi="宋体" w:cs="宋体"/>
                <w:b w:val="0"/>
                <w:i w:val="0"/>
                <w:color w:val="000000"/>
                <w:sz w:val="18"/>
              </w:rPr>
              <w:t xml:space="preserve">1,501.88</w:t>
            </w:r>
          </w:p>
        </w:tc>
        <w:tc>
          <w:tcPr>
            <w:tcW w:w="1772" w:type="dxa"/>
            <w:tcBorders/>
            <w:vAlign w:val="center"/>
          </w:tcPr>
          <w:p>
            <w:pPr>
              <w:jc w:val="right"/>
            </w:pPr>
            <w:r>
              <w:rPr>
                <w:rFonts w:ascii="宋体" w:eastAsia="宋体" w:hAnsi="宋体" w:cs="宋体"/>
                <w:b w:val="0"/>
                <w:i w:val="0"/>
                <w:color w:val="000000"/>
                <w:sz w:val="18"/>
              </w:rPr>
              <w:t xml:space="preserve">457.63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w:t>
            </w:r>
          </w:p>
        </w:tc>
        <w:tc>
          <w:tcPr>
            <w:tcW w:w="4300" w:type="dxa"/>
            <w:tcBorders/>
            <w:vAlign w:val="center"/>
          </w:tcPr>
          <w:p>
            <w:pPr>
              <w:jc w:val="left"/>
            </w:pPr>
            <w:r>
              <w:rPr>
                <w:rFonts w:ascii="宋体" w:eastAsia="宋体" w:hAnsi="宋体" w:cs="宋体"/>
                <w:b w:val="0"/>
                <w:i w:val="0"/>
                <w:color w:val="000000"/>
                <w:sz w:val="18"/>
              </w:rPr>
              <w:t xml:space="preserve">普通教育</w:t>
            </w:r>
          </w:p>
        </w:tc>
        <w:tc>
          <w:tcPr>
            <w:tcW w:w="1780" w:type="dxa"/>
            <w:tcBorders/>
            <w:vAlign w:val="center"/>
          </w:tcPr>
          <w:p>
            <w:pPr>
              <w:jc w:val="right"/>
            </w:pPr>
            <w:r>
              <w:rPr>
                <w:rFonts w:ascii="宋体" w:eastAsia="宋体" w:hAnsi="宋体" w:cs="宋体"/>
                <w:b w:val="0"/>
                <w:i w:val="0"/>
                <w:color w:val="000000"/>
                <w:sz w:val="18"/>
              </w:rPr>
              <w:t xml:space="preserve">1,929.27</w:t>
            </w:r>
          </w:p>
        </w:tc>
        <w:tc>
          <w:tcPr>
            <w:tcW w:w="1780" w:type="dxa"/>
            <w:tcBorders/>
            <w:vAlign w:val="center"/>
          </w:tcPr>
          <w:p>
            <w:pPr>
              <w:jc w:val="right"/>
            </w:pPr>
            <w:r>
              <w:rPr>
                <w:rFonts w:ascii="宋体" w:eastAsia="宋体" w:hAnsi="宋体" w:cs="宋体"/>
                <w:b w:val="0"/>
                <w:i w:val="0"/>
                <w:color w:val="000000"/>
                <w:sz w:val="18"/>
              </w:rPr>
              <w:t xml:space="preserve">1,501.88</w:t>
            </w:r>
          </w:p>
        </w:tc>
        <w:tc>
          <w:tcPr>
            <w:tcW w:w="1772" w:type="dxa"/>
            <w:tcBorders/>
            <w:vAlign w:val="center"/>
          </w:tcPr>
          <w:p>
            <w:pPr>
              <w:jc w:val="right"/>
            </w:pPr>
            <w:r>
              <w:rPr>
                <w:rFonts w:ascii="宋体" w:eastAsia="宋体" w:hAnsi="宋体" w:cs="宋体"/>
                <w:b w:val="0"/>
                <w:i w:val="0"/>
                <w:color w:val="000000"/>
                <w:sz w:val="18"/>
              </w:rPr>
              <w:t xml:space="preserve">427.39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2050202</w:t>
            </w:r>
          </w:p>
        </w:tc>
        <w:tc>
          <w:tcPr>
            <w:tcW w:w="4300" w:type="dxa"/>
            <w:tcBorders/>
            <w:vAlign w:val="center"/>
          </w:tcPr>
          <w:p>
            <w:pPr>
              <w:jc w:val="left"/>
            </w:pPr>
            <w:r>
              <w:rPr>
                <w:rFonts w:ascii="宋体" w:eastAsia="宋体" w:hAnsi="宋体" w:cs="宋体"/>
                <w:b w:val="0"/>
                <w:i w:val="0"/>
                <w:color w:val="000000"/>
                <w:sz w:val="18"/>
              </w:rPr>
              <w:t xml:space="preserve">小学教育</w:t>
            </w:r>
          </w:p>
        </w:tc>
        <w:tc>
          <w:tcPr>
            <w:tcW w:w="1780" w:type="dxa"/>
            <w:tcBorders/>
            <w:vAlign w:val="center"/>
          </w:tcPr>
          <w:p>
            <w:pPr>
              <w:jc w:val="right"/>
            </w:pPr>
            <w:r>
              <w:rPr>
                <w:rFonts w:ascii="宋体" w:eastAsia="宋体" w:hAnsi="宋体" w:cs="宋体"/>
                <w:b w:val="0"/>
                <w:i w:val="0"/>
                <w:color w:val="000000"/>
                <w:sz w:val="18"/>
              </w:rPr>
              <w:t xml:space="preserve">1,929.27</w:t>
            </w:r>
          </w:p>
        </w:tc>
        <w:tc>
          <w:tcPr>
            <w:tcW w:w="1780" w:type="dxa"/>
            <w:tcBorders/>
            <w:vAlign w:val="center"/>
          </w:tcPr>
          <w:p>
            <w:pPr>
              <w:jc w:val="right"/>
            </w:pPr>
            <w:r>
              <w:rPr>
                <w:rFonts w:ascii="宋体" w:eastAsia="宋体" w:hAnsi="宋体" w:cs="宋体"/>
                <w:b w:val="0"/>
                <w:i w:val="0"/>
                <w:color w:val="000000"/>
                <w:sz w:val="18"/>
              </w:rPr>
              <w:t xml:space="preserve">1,501.88</w:t>
            </w:r>
          </w:p>
        </w:tc>
        <w:tc>
          <w:tcPr>
            <w:tcW w:w="1772" w:type="dxa"/>
            <w:tcBorders/>
            <w:vAlign w:val="center"/>
          </w:tcPr>
          <w:p>
            <w:pPr>
              <w:jc w:val="right"/>
            </w:pPr>
            <w:r>
              <w:rPr>
                <w:rFonts w:ascii="宋体" w:eastAsia="宋体" w:hAnsi="宋体" w:cs="宋体"/>
                <w:b w:val="0"/>
                <w:i w:val="0"/>
                <w:color w:val="000000"/>
                <w:sz w:val="18"/>
              </w:rPr>
              <w:t xml:space="preserve">427.39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w:t>
            </w:r>
          </w:p>
        </w:tc>
        <w:tc>
          <w:tcPr>
            <w:tcW w:w="4300" w:type="dxa"/>
            <w:tcBorders/>
            <w:vAlign w:val="center"/>
          </w:tcPr>
          <w:p>
            <w:pPr>
              <w:jc w:val="left"/>
            </w:pPr>
            <w:r>
              <w:rPr>
                <w:rFonts w:ascii="宋体" w:eastAsia="宋体" w:hAnsi="宋体" w:cs="宋体"/>
                <w:b w:val="0"/>
                <w:i w:val="0"/>
                <w:color w:val="000000"/>
                <w:sz w:val="18"/>
              </w:rPr>
              <w:t xml:space="preserve">教育费附加安排的支出</w:t>
            </w:r>
          </w:p>
        </w:tc>
        <w:tc>
          <w:tcPr>
            <w:tcW w:w="1780" w:type="dxa"/>
            <w:tcBorders/>
            <w:vAlign w:val="center"/>
          </w:tcPr>
          <w:p>
            <w:pPr>
              <w:jc w:val="right"/>
            </w:pPr>
            <w:r>
              <w:rPr>
                <w:rFonts w:ascii="宋体" w:eastAsia="宋体" w:hAnsi="宋体" w:cs="宋体"/>
                <w:b w:val="0"/>
                <w:i w:val="0"/>
                <w:color w:val="000000"/>
                <w:sz w:val="18"/>
              </w:rPr>
              <w:t xml:space="preserve">30.24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30.24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2050999</w:t>
            </w:r>
          </w:p>
        </w:tc>
        <w:tc>
          <w:tcPr>
            <w:tcW w:w="4300" w:type="dxa"/>
            <w:tcBorders/>
            <w:vAlign w:val="center"/>
          </w:tcPr>
          <w:p>
            <w:pPr>
              <w:jc w:val="left"/>
            </w:pPr>
            <w:r>
              <w:rPr>
                <w:rFonts w:ascii="宋体" w:eastAsia="宋体" w:hAnsi="宋体" w:cs="宋体"/>
                <w:b w:val="0"/>
                <w:i w:val="0"/>
                <w:color w:val="000000"/>
                <w:sz w:val="18"/>
              </w:rPr>
              <w:t xml:space="preserve">其他教育费附加安排的支出</w:t>
            </w:r>
          </w:p>
        </w:tc>
        <w:tc>
          <w:tcPr>
            <w:tcW w:w="1780" w:type="dxa"/>
            <w:tcBorders/>
            <w:vAlign w:val="center"/>
          </w:tcPr>
          <w:p>
            <w:pPr>
              <w:jc w:val="right"/>
            </w:pPr>
            <w:r>
              <w:rPr>
                <w:rFonts w:ascii="宋体" w:eastAsia="宋体" w:hAnsi="宋体" w:cs="宋体"/>
                <w:b w:val="0"/>
                <w:i w:val="0"/>
                <w:color w:val="000000"/>
                <w:sz w:val="18"/>
              </w:rPr>
              <w:t xml:space="preserve">30.24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30.24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8.31</w:t>
            </w:r>
          </w:p>
        </w:tc>
        <w:tc>
          <w:tcPr>
            <w:tcW w:w="1780" w:type="dxa"/>
            <w:tcBorders/>
            <w:vAlign w:val="center"/>
          </w:tcPr>
          <w:p>
            <w:pPr>
              <w:jc w:val="right"/>
            </w:pPr>
            <w:r>
              <w:rPr>
                <w:rFonts w:ascii="宋体" w:eastAsia="宋体" w:hAnsi="宋体" w:cs="宋体"/>
                <w:b w:val="0"/>
                <w:i w:val="0"/>
                <w:color w:val="000000"/>
                <w:sz w:val="18"/>
              </w:rPr>
              <w:t xml:space="preserve">8.31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8.31</w:t>
            </w:r>
          </w:p>
        </w:tc>
        <w:tc>
          <w:tcPr>
            <w:tcW w:w="1780" w:type="dxa"/>
            <w:tcBorders/>
            <w:vAlign w:val="center"/>
          </w:tcPr>
          <w:p>
            <w:pPr>
              <w:jc w:val="right"/>
            </w:pPr>
            <w:r>
              <w:rPr>
                <w:rFonts w:ascii="宋体" w:eastAsia="宋体" w:hAnsi="宋体" w:cs="宋体"/>
                <w:b w:val="0"/>
                <w:i w:val="0"/>
                <w:color w:val="000000"/>
                <w:sz w:val="18"/>
              </w:rPr>
              <w:t xml:space="preserve">8.31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8.31</w:t>
            </w:r>
          </w:p>
        </w:tc>
        <w:tc>
          <w:tcPr>
            <w:tcW w:w="1780" w:type="dxa"/>
            <w:tcBorders/>
            <w:vAlign w:val="center"/>
          </w:tcPr>
          <w:p>
            <w:pPr>
              <w:jc w:val="right"/>
            </w:pPr>
            <w:r>
              <w:rPr>
                <w:rFonts w:ascii="宋体" w:eastAsia="宋体" w:hAnsi="宋体" w:cs="宋体"/>
                <w:b w:val="0"/>
                <w:i w:val="0"/>
                <w:color w:val="000000"/>
                <w:sz w:val="18"/>
              </w:rPr>
              <w:t xml:space="preserve">8.31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单位：辽宁省沈阳市浑南区第一小学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1,478.69</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31.50</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556.00</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0.51</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187.48</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43.67</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17.89</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368.34</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200.10</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8.31</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0.05</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92.52</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jc w:val="right"/>
            </w:pPr>
            <w:r>
              <w:rPr>
                <w:rFonts w:ascii="宋体" w:eastAsia="宋体" w:hAnsi="宋体" w:cs="宋体"/>
                <w:b w:val="0"/>
                <w:i w:val="0"/>
                <w:color w:val="000000"/>
                <w:sz w:val="14"/>
              </w:rPr>
              <w:t xml:space="preserve">10.58</w:t>
            </w: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4.38</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0.76</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jc w:val="right"/>
            </w:pPr>
            <w:r>
              <w:rPr>
                <w:rFonts w:ascii="宋体" w:eastAsia="宋体" w:hAnsi="宋体" w:cs="宋体"/>
                <w:b w:val="0"/>
                <w:i w:val="0"/>
                <w:color w:val="000000"/>
                <w:sz w:val="14"/>
              </w:rPr>
              <w:t xml:space="preserve">3.90</w:t>
            </w: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jc w:val="right"/>
            </w:pPr>
            <w:r>
              <w:rPr>
                <w:rFonts w:ascii="宋体" w:eastAsia="宋体" w:hAnsi="宋体" w:cs="宋体"/>
                <w:b w:val="0"/>
                <w:i w:val="0"/>
                <w:color w:val="000000"/>
                <w:sz w:val="14"/>
              </w:rPr>
              <w:t xml:space="preserve">0.24</w:t>
            </w: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jc w:val="right"/>
            </w:pPr>
            <w:r>
              <w:rPr>
                <w:rFonts w:ascii="宋体" w:eastAsia="宋体" w:hAnsi="宋体" w:cs="宋体"/>
                <w:b w:val="0"/>
                <w:i w:val="0"/>
                <w:color w:val="000000"/>
                <w:sz w:val="14"/>
              </w:rPr>
              <w:t xml:space="preserve">2.18</w:t>
            </w: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12.93</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0.36</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1,478.69</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31.50</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单位：辽宁省沈阳市浑南区第一小学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单位：辽宁省沈阳市浑南区第一小学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单位：辽宁省沈阳市浑南区第一小学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城乡义务教育补助经费-2024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沈阳市浑南区第一小学-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103.18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103.18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维护学校正常运转，保证学校正常教育教学秩序</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教师绩效-2024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沈阳市浑南区第一小学-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205.61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205.61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满足不同主体价值选择，充分发挥激励性作用</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教育管理专项业务费-2024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沈阳市浑南区第一小学-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市级专项资金，三健康专项、民族教育专项、传统体育特色校扶持经费等</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促进学校稳定运行发展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区聘教师经费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沈阳市浑南区第一小学-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30.82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30.82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按照辽宁省事业单位工作人员奖励实施细则，完成考核奖励等。</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学生资助-2024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沈阳市浑南区第一小学-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完善义务教育家庭经济困难学生生活补助</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023016沈阳市浑南区第一小学-210112000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1897.18</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1897.18</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1428.35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1428.34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基本支出公用经费(保基本民生)</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18.57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18.57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12.93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12.92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50.35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50.34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人员经费按标准如期发放，公用经费合理运用，保障教育教学有序开展。</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合理运用经费，保障教育教学有序开展</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发放补助对象满意率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家长满意率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主管部门满意度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上级主管部门满意度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人事制度改革</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综合网络配套服务</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规范管理</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创新驱动发展</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建设校级一流实践教育基地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