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辽宁省沈阳市浑南区东陵路小学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辽宁省沈阳市浑南区东陵路小学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辽宁省沈阳市浑南区东陵路小学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辽宁省沈阳市浑南区东陵路小学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辽宁省沈阳市浑南区东陵路小学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辽宁省沈阳市浑南区东陵路小学概况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（一）组织教育教学、科学研究活动，保证教育教学质量。维护教职工利益，保障教职工合法权益，以教职工和学生的人生幸福和生命质量作为重点。</w:t>
        <w:br/>
        <w:t xml:space="preserve">    （二）制定学校发展规划，并抓好组织实施和落实情况。</w:t>
        <w:br/>
        <w:t xml:space="preserve">    （三）科学管理、合理使用学校的设施和经费，并积极筹措办学资金，改善办学条件。</w:t>
        <w:br/>
        <w:t xml:space="preserve">    （四）依法接受各级教育行政部门的检查指导和人民群众的监督。</w:t>
        <w:br/>
        <w:t xml:space="preserve">    （五）财务管理方面：</w:t>
        <w:b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b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辽宁省沈阳市浑南区东陵路小学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辽宁省沈阳市浑南区东陵路小学，本单位无下设机构。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696.02</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693.72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99.67</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693.72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0.03</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2.28</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0.33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主要是体育器材质保金、以前年度非财政拨款结转结余等。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减少4.96万元，降低0.71%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学生减少、公用经费减少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694.32</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539.76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77.74</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工资福利支出490.35万元；商品和服务支出6.90万元；对个人和家庭的补助42.51万元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154.57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22.26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主要包括幼儿园保育费、学前奖补、公用经费、学生资助、信访维稳工作经费、区聘教师经费、教师绩效、缴纳残保金等业务支出。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减少4.38万元，降低0.63%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公用经费支出减少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1.70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主要是以前年度非财政拨款结转结余等原因形成的结余。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减少0.58万元，降低25.43%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质保金支出</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693.72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539.76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153.96</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增加23.09万元，增长3.44%</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学生资助支出增加、补助支出增加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117.74</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91.61</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2024年度一般公共预算财政拨款支出693.72万元。按支出功能分类科目分，包括：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1.教育支出666.05万元，具体包括：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（1）教育支出（类）普通教育（款）学前教育（项）29.40万元,主要是幼儿园经费等支出，完成年初预算的100%，决算数与年初预算数存在差异的主要原因是年初未填报该项资金，后根基实际发生情况追加预算。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普通教育（款）小学教育（项）630.96万元,主要是工资福利支出、商品服务支出、对个人和家庭补助支出等支出，完成年初预算的107.09%，决算数与年初预算数存在差异的主要原因是工资福利支出增加，补助支出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教育支出（类）教育费附加安排的支出（款）其他教育费附加安排的支出（项）5.69万元,主要是办公费及物业管理费等支出，完成年初预算的100%，决算数与年初预算数存在差异的主要原因是年初未填报此项预算，后根基实际发生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2.社会保障和就业支出27.66万元，具体包括：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19.74万元,主要是离休费、退休人员取暖费等支出，完成年初预算的93.11%，决算数与年初预算数存在差异的主要原因是退休人员去世，取暖费未发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7.92万元,主要是2023年退休人员单位部分职业年金等支出，完成年初预算的100%，决算数与年初预算数存在差异的主要原因是年初未填报此项预算，后根基实际发生情况追加预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本单位无此项经费</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本单位无此项经费</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本单位无此项经费</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本单位无此项经费</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本单位无此项经费</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本单位无此项经费</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本单位无此项经费</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539.76</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532.86</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6.90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本单位无此项经费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，其他用车主要是闲置车辆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具体而言，本年度我部门共组织对7个项目实施了绩效评价。从预算资金来源看，涉及一般公共预算的项目7个，涉及政府性基金预算的项目0个，涉及国有资本经营预算的项目0个。</w:t>
        <w:br/>
        <w:t xml:space="preserve">    上述评价工作共涉及财政资金127.17万元。其中，一般公共预算资金127.17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7个；得分在80分（含）至90分、等级为“良”的项目有0个；得分在60分（含）至80分、等级为“中”的项目有0；得分在60分以下、等级为“差”的项目有0个。各项目自评发现，部分项目存在0问题，</w:t>
        <w:br/>
        <w:t xml:space="preserve">    3.部门重点评价情况及结果。</w:t>
        <w:br/>
        <w:t xml:space="preserve">    本单位无重大资金项目.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单位：辽宁省沈阳市浑南区东陵路小学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693.72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666.66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0.03</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27.67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693.75</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694.32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2.28</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1.70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696.02</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696.02</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单位：辽宁省沈阳市浑南区东陵路小学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693.75</w:t>
            </w:r>
          </w:p>
        </w:tc>
        <w:tc>
          <w:tcPr>
            <w:tcW w:w="960" w:type="dxa"/>
            <w:tcBorders/>
            <w:vAlign w:val="center"/>
          </w:tcPr>
          <w:p>
            <w:pPr>
              <w:jc w:val="right"/>
            </w:pPr>
            <w:r>
              <w:rPr>
                <w:rFonts w:ascii="宋体" w:eastAsia="宋体" w:hAnsi="宋体" w:cs="宋体"/>
                <w:b/>
                <w:i w:val="0"/>
                <w:color w:val="000000"/>
                <w:sz w:val="13"/>
              </w:rPr>
              <w:t xml:space="preserve">693.72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0.03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666.08</w:t>
            </w:r>
          </w:p>
        </w:tc>
        <w:tc>
          <w:tcPr>
            <w:tcW w:w="960" w:type="dxa"/>
            <w:tcBorders/>
            <w:vAlign w:val="center"/>
          </w:tcPr>
          <w:p>
            <w:pPr>
              <w:jc w:val="right"/>
            </w:pPr>
            <w:r>
              <w:rPr>
                <w:rFonts w:ascii="宋体" w:eastAsia="宋体" w:hAnsi="宋体" w:cs="宋体"/>
                <w:b w:val="0"/>
                <w:i w:val="0"/>
                <w:color w:val="000000"/>
                <w:sz w:val="13"/>
              </w:rPr>
              <w:t xml:space="preserve">666.05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0.03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660.39</w:t>
            </w:r>
          </w:p>
        </w:tc>
        <w:tc>
          <w:tcPr>
            <w:tcW w:w="960" w:type="dxa"/>
            <w:tcBorders/>
            <w:vAlign w:val="center"/>
          </w:tcPr>
          <w:p>
            <w:pPr>
              <w:jc w:val="right"/>
            </w:pPr>
            <w:r>
              <w:rPr>
                <w:rFonts w:ascii="宋体" w:eastAsia="宋体" w:hAnsi="宋体" w:cs="宋体"/>
                <w:b w:val="0"/>
                <w:i w:val="0"/>
                <w:color w:val="000000"/>
                <w:sz w:val="13"/>
              </w:rPr>
              <w:t xml:space="preserve">660.36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0.03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2050201</w:t>
            </w:r>
          </w:p>
        </w:tc>
        <w:tc>
          <w:tcPr>
            <w:tcW w:w="3200" w:type="dxa"/>
            <w:tcBorders/>
            <w:vAlign w:val="center"/>
          </w:tcPr>
          <w:p>
            <w:pPr>
              <w:jc w:val="left"/>
            </w:pPr>
            <w:r>
              <w:rPr>
                <w:rFonts w:ascii="宋体" w:eastAsia="宋体" w:hAnsi="宋体" w:cs="宋体"/>
                <w:b w:val="0"/>
                <w:i w:val="0"/>
                <w:color w:val="000000"/>
                <w:sz w:val="13"/>
              </w:rPr>
              <w:t xml:space="preserve">学前教育</w:t>
            </w:r>
          </w:p>
        </w:tc>
        <w:tc>
          <w:tcPr>
            <w:tcW w:w="960" w:type="dxa"/>
            <w:tcBorders/>
            <w:vAlign w:val="center"/>
          </w:tcPr>
          <w:p>
            <w:pPr>
              <w:jc w:val="right"/>
            </w:pPr>
            <w:r>
              <w:rPr>
                <w:rFonts w:ascii="宋体" w:eastAsia="宋体" w:hAnsi="宋体" w:cs="宋体"/>
                <w:b w:val="0"/>
                <w:i w:val="0"/>
                <w:color w:val="000000"/>
                <w:sz w:val="13"/>
              </w:rPr>
              <w:t xml:space="preserve">29.40</w:t>
            </w:r>
          </w:p>
        </w:tc>
        <w:tc>
          <w:tcPr>
            <w:tcW w:w="960" w:type="dxa"/>
            <w:tcBorders/>
            <w:vAlign w:val="center"/>
          </w:tcPr>
          <w:p>
            <w:pPr>
              <w:jc w:val="right"/>
            </w:pPr>
            <w:r>
              <w:rPr>
                <w:rFonts w:ascii="宋体" w:eastAsia="宋体" w:hAnsi="宋体" w:cs="宋体"/>
                <w:b w:val="0"/>
                <w:i w:val="0"/>
                <w:color w:val="000000"/>
                <w:sz w:val="13"/>
              </w:rPr>
              <w:t xml:space="preserve">29.40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2050202</w:t>
            </w:r>
          </w:p>
        </w:tc>
        <w:tc>
          <w:tcPr>
            <w:tcW w:w="3200" w:type="dxa"/>
            <w:tcBorders/>
            <w:vAlign w:val="center"/>
          </w:tcPr>
          <w:p>
            <w:pPr>
              <w:jc w:val="left"/>
            </w:pPr>
            <w:r>
              <w:rPr>
                <w:rFonts w:ascii="宋体" w:eastAsia="宋体" w:hAnsi="宋体" w:cs="宋体"/>
                <w:b w:val="0"/>
                <w:i w:val="0"/>
                <w:color w:val="000000"/>
                <w:sz w:val="13"/>
              </w:rPr>
              <w:t xml:space="preserve">小学教育</w:t>
            </w:r>
          </w:p>
        </w:tc>
        <w:tc>
          <w:tcPr>
            <w:tcW w:w="960" w:type="dxa"/>
            <w:tcBorders/>
            <w:vAlign w:val="center"/>
          </w:tcPr>
          <w:p>
            <w:pPr>
              <w:jc w:val="right"/>
            </w:pPr>
            <w:r>
              <w:rPr>
                <w:rFonts w:ascii="宋体" w:eastAsia="宋体" w:hAnsi="宋体" w:cs="宋体"/>
                <w:b w:val="0"/>
                <w:i w:val="0"/>
                <w:color w:val="000000"/>
                <w:sz w:val="13"/>
              </w:rPr>
              <w:t xml:space="preserve">630.96</w:t>
            </w:r>
          </w:p>
        </w:tc>
        <w:tc>
          <w:tcPr>
            <w:tcW w:w="960" w:type="dxa"/>
            <w:tcBorders/>
            <w:vAlign w:val="center"/>
          </w:tcPr>
          <w:p>
            <w:pPr>
              <w:jc w:val="right"/>
            </w:pPr>
            <w:r>
              <w:rPr>
                <w:rFonts w:ascii="宋体" w:eastAsia="宋体" w:hAnsi="宋体" w:cs="宋体"/>
                <w:b w:val="0"/>
                <w:i w:val="0"/>
                <w:color w:val="000000"/>
                <w:sz w:val="13"/>
              </w:rPr>
              <w:t xml:space="preserve">630.96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0.03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0.03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5.69</w:t>
            </w:r>
          </w:p>
        </w:tc>
        <w:tc>
          <w:tcPr>
            <w:tcW w:w="960" w:type="dxa"/>
            <w:tcBorders/>
            <w:vAlign w:val="center"/>
          </w:tcPr>
          <w:p>
            <w:pPr>
              <w:jc w:val="right"/>
            </w:pPr>
            <w:r>
              <w:rPr>
                <w:rFonts w:ascii="宋体" w:eastAsia="宋体" w:hAnsi="宋体" w:cs="宋体"/>
                <w:b w:val="0"/>
                <w:i w:val="0"/>
                <w:color w:val="000000"/>
                <w:sz w:val="13"/>
              </w:rPr>
              <w:t xml:space="preserve">5.69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5.69</w:t>
            </w:r>
          </w:p>
        </w:tc>
        <w:tc>
          <w:tcPr>
            <w:tcW w:w="960" w:type="dxa"/>
            <w:tcBorders/>
            <w:vAlign w:val="center"/>
          </w:tcPr>
          <w:p>
            <w:pPr>
              <w:jc w:val="right"/>
            </w:pPr>
            <w:r>
              <w:rPr>
                <w:rFonts w:ascii="宋体" w:eastAsia="宋体" w:hAnsi="宋体" w:cs="宋体"/>
                <w:b w:val="0"/>
                <w:i w:val="0"/>
                <w:color w:val="000000"/>
                <w:sz w:val="13"/>
              </w:rPr>
              <w:t xml:space="preserve">5.69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27.66</w:t>
            </w:r>
          </w:p>
        </w:tc>
        <w:tc>
          <w:tcPr>
            <w:tcW w:w="960" w:type="dxa"/>
            <w:tcBorders/>
            <w:vAlign w:val="center"/>
          </w:tcPr>
          <w:p>
            <w:pPr>
              <w:jc w:val="right"/>
            </w:pPr>
            <w:r>
              <w:rPr>
                <w:rFonts w:ascii="宋体" w:eastAsia="宋体" w:hAnsi="宋体" w:cs="宋体"/>
                <w:b w:val="0"/>
                <w:i w:val="0"/>
                <w:color w:val="000000"/>
                <w:sz w:val="13"/>
              </w:rPr>
              <w:t xml:space="preserve">27.66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27.66</w:t>
            </w:r>
          </w:p>
        </w:tc>
        <w:tc>
          <w:tcPr>
            <w:tcW w:w="960" w:type="dxa"/>
            <w:tcBorders/>
            <w:vAlign w:val="center"/>
          </w:tcPr>
          <w:p>
            <w:pPr>
              <w:jc w:val="right"/>
            </w:pPr>
            <w:r>
              <w:rPr>
                <w:rFonts w:ascii="宋体" w:eastAsia="宋体" w:hAnsi="宋体" w:cs="宋体"/>
                <w:b w:val="0"/>
                <w:i w:val="0"/>
                <w:color w:val="000000"/>
                <w:sz w:val="13"/>
              </w:rPr>
              <w:t xml:space="preserve">27.66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19.74</w:t>
            </w:r>
          </w:p>
        </w:tc>
        <w:tc>
          <w:tcPr>
            <w:tcW w:w="960" w:type="dxa"/>
            <w:tcBorders/>
            <w:vAlign w:val="center"/>
          </w:tcPr>
          <w:p>
            <w:pPr>
              <w:jc w:val="right"/>
            </w:pPr>
            <w:r>
              <w:rPr>
                <w:rFonts w:ascii="宋体" w:eastAsia="宋体" w:hAnsi="宋体" w:cs="宋体"/>
                <w:b w:val="0"/>
                <w:i w:val="0"/>
                <w:color w:val="000000"/>
                <w:sz w:val="13"/>
              </w:rPr>
              <w:t xml:space="preserve">19.74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7.92</w:t>
            </w:r>
          </w:p>
        </w:tc>
        <w:tc>
          <w:tcPr>
            <w:tcW w:w="960" w:type="dxa"/>
            <w:tcBorders/>
            <w:vAlign w:val="center"/>
          </w:tcPr>
          <w:p>
            <w:pPr>
              <w:jc w:val="right"/>
            </w:pPr>
            <w:r>
              <w:rPr>
                <w:rFonts w:ascii="宋体" w:eastAsia="宋体" w:hAnsi="宋体" w:cs="宋体"/>
                <w:b w:val="0"/>
                <w:i w:val="0"/>
                <w:color w:val="000000"/>
                <w:sz w:val="13"/>
              </w:rPr>
              <w:t xml:space="preserve">7.92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单位：辽宁省沈阳市浑南区东陵路小学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694.32</w:t>
            </w:r>
          </w:p>
        </w:tc>
        <w:tc>
          <w:tcPr>
            <w:tcW w:w="1060" w:type="dxa"/>
            <w:tcBorders/>
            <w:vAlign w:val="center"/>
          </w:tcPr>
          <w:p>
            <w:pPr>
              <w:jc w:val="right"/>
            </w:pPr>
            <w:r>
              <w:rPr>
                <w:rFonts w:ascii="宋体" w:eastAsia="宋体" w:hAnsi="宋体" w:cs="宋体"/>
                <w:b/>
                <w:i w:val="0"/>
                <w:color w:val="000000"/>
                <w:sz w:val="14"/>
              </w:rPr>
              <w:t xml:space="preserve">539.76</w:t>
            </w:r>
          </w:p>
        </w:tc>
        <w:tc>
          <w:tcPr>
            <w:tcW w:w="1060" w:type="dxa"/>
            <w:tcBorders/>
            <w:vAlign w:val="center"/>
          </w:tcPr>
          <w:p>
            <w:pPr>
              <w:jc w:val="right"/>
            </w:pPr>
            <w:r>
              <w:rPr>
                <w:rFonts w:ascii="宋体" w:eastAsia="宋体" w:hAnsi="宋体" w:cs="宋体"/>
                <w:b/>
                <w:i w:val="0"/>
                <w:color w:val="000000"/>
                <w:sz w:val="14"/>
              </w:rPr>
              <w:t xml:space="preserve">154.57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666.66</w:t>
            </w:r>
          </w:p>
        </w:tc>
        <w:tc>
          <w:tcPr>
            <w:tcW w:w="1060" w:type="dxa"/>
            <w:tcBorders/>
            <w:vAlign w:val="center"/>
          </w:tcPr>
          <w:p>
            <w:pPr>
              <w:jc w:val="right"/>
            </w:pPr>
            <w:r>
              <w:rPr>
                <w:rFonts w:ascii="宋体" w:eastAsia="宋体" w:hAnsi="宋体" w:cs="宋体"/>
                <w:b w:val="0"/>
                <w:i w:val="0"/>
                <w:color w:val="000000"/>
                <w:sz w:val="14"/>
              </w:rPr>
              <w:t xml:space="preserve">512.09</w:t>
            </w:r>
          </w:p>
        </w:tc>
        <w:tc>
          <w:tcPr>
            <w:tcW w:w="1060" w:type="dxa"/>
            <w:tcBorders/>
            <w:vAlign w:val="center"/>
          </w:tcPr>
          <w:p>
            <w:pPr>
              <w:jc w:val="right"/>
            </w:pPr>
            <w:r>
              <w:rPr>
                <w:rFonts w:ascii="宋体" w:eastAsia="宋体" w:hAnsi="宋体" w:cs="宋体"/>
                <w:b w:val="0"/>
                <w:i w:val="0"/>
                <w:color w:val="000000"/>
                <w:sz w:val="14"/>
              </w:rPr>
              <w:t xml:space="preserve">154.57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660.97</w:t>
            </w:r>
          </w:p>
        </w:tc>
        <w:tc>
          <w:tcPr>
            <w:tcW w:w="1060" w:type="dxa"/>
            <w:tcBorders/>
            <w:vAlign w:val="center"/>
          </w:tcPr>
          <w:p>
            <w:pPr>
              <w:jc w:val="right"/>
            </w:pPr>
            <w:r>
              <w:rPr>
                <w:rFonts w:ascii="宋体" w:eastAsia="宋体" w:hAnsi="宋体" w:cs="宋体"/>
                <w:b w:val="0"/>
                <w:i w:val="0"/>
                <w:color w:val="000000"/>
                <w:sz w:val="14"/>
              </w:rPr>
              <w:t xml:space="preserve">512.09</w:t>
            </w:r>
          </w:p>
        </w:tc>
        <w:tc>
          <w:tcPr>
            <w:tcW w:w="1060" w:type="dxa"/>
            <w:tcBorders/>
            <w:vAlign w:val="center"/>
          </w:tcPr>
          <w:p>
            <w:pPr>
              <w:jc w:val="right"/>
            </w:pPr>
            <w:r>
              <w:rPr>
                <w:rFonts w:ascii="宋体" w:eastAsia="宋体" w:hAnsi="宋体" w:cs="宋体"/>
                <w:b w:val="0"/>
                <w:i w:val="0"/>
                <w:color w:val="000000"/>
                <w:sz w:val="14"/>
              </w:rPr>
              <w:t xml:space="preserve">148.88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2050201</w:t>
            </w:r>
          </w:p>
        </w:tc>
        <w:tc>
          <w:tcPr>
            <w:tcW w:w="3440" w:type="dxa"/>
            <w:tcBorders/>
            <w:vAlign w:val="center"/>
          </w:tcPr>
          <w:p>
            <w:pPr>
              <w:jc w:val="left"/>
            </w:pPr>
            <w:r>
              <w:rPr>
                <w:rFonts w:ascii="宋体" w:eastAsia="宋体" w:hAnsi="宋体" w:cs="宋体"/>
                <w:b w:val="0"/>
                <w:i w:val="0"/>
                <w:color w:val="000000"/>
                <w:sz w:val="14"/>
              </w:rPr>
              <w:t xml:space="preserve">学前教育</w:t>
            </w:r>
          </w:p>
        </w:tc>
        <w:tc>
          <w:tcPr>
            <w:tcW w:w="1060" w:type="dxa"/>
            <w:tcBorders/>
            <w:vAlign w:val="center"/>
          </w:tcPr>
          <w:p>
            <w:pPr>
              <w:jc w:val="right"/>
            </w:pPr>
            <w:r>
              <w:rPr>
                <w:rFonts w:ascii="宋体" w:eastAsia="宋体" w:hAnsi="宋体" w:cs="宋体"/>
                <w:b w:val="0"/>
                <w:i w:val="0"/>
                <w:color w:val="000000"/>
                <w:sz w:val="14"/>
              </w:rPr>
              <w:t xml:space="preserve">29.40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29.40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2050202</w:t>
            </w:r>
          </w:p>
        </w:tc>
        <w:tc>
          <w:tcPr>
            <w:tcW w:w="3440" w:type="dxa"/>
            <w:tcBorders/>
            <w:vAlign w:val="center"/>
          </w:tcPr>
          <w:p>
            <w:pPr>
              <w:jc w:val="left"/>
            </w:pPr>
            <w:r>
              <w:rPr>
                <w:rFonts w:ascii="宋体" w:eastAsia="宋体" w:hAnsi="宋体" w:cs="宋体"/>
                <w:b w:val="0"/>
                <w:i w:val="0"/>
                <w:color w:val="000000"/>
                <w:sz w:val="14"/>
              </w:rPr>
              <w:t xml:space="preserve">小学教育</w:t>
            </w:r>
          </w:p>
        </w:tc>
        <w:tc>
          <w:tcPr>
            <w:tcW w:w="1060" w:type="dxa"/>
            <w:tcBorders/>
            <w:vAlign w:val="center"/>
          </w:tcPr>
          <w:p>
            <w:pPr>
              <w:jc w:val="right"/>
            </w:pPr>
            <w:r>
              <w:rPr>
                <w:rFonts w:ascii="宋体" w:eastAsia="宋体" w:hAnsi="宋体" w:cs="宋体"/>
                <w:b w:val="0"/>
                <w:i w:val="0"/>
                <w:color w:val="000000"/>
                <w:sz w:val="14"/>
              </w:rPr>
              <w:t xml:space="preserve">630.96</w:t>
            </w:r>
          </w:p>
        </w:tc>
        <w:tc>
          <w:tcPr>
            <w:tcW w:w="1060" w:type="dxa"/>
            <w:tcBorders/>
            <w:vAlign w:val="center"/>
          </w:tcPr>
          <w:p>
            <w:pPr>
              <w:jc w:val="right"/>
            </w:pPr>
            <w:r>
              <w:rPr>
                <w:rFonts w:ascii="宋体" w:eastAsia="宋体" w:hAnsi="宋体" w:cs="宋体"/>
                <w:b w:val="0"/>
                <w:i w:val="0"/>
                <w:color w:val="000000"/>
                <w:sz w:val="14"/>
              </w:rPr>
              <w:t xml:space="preserve">512.09</w:t>
            </w:r>
          </w:p>
        </w:tc>
        <w:tc>
          <w:tcPr>
            <w:tcW w:w="1060" w:type="dxa"/>
            <w:tcBorders/>
            <w:vAlign w:val="center"/>
          </w:tcPr>
          <w:p>
            <w:pPr>
              <w:jc w:val="right"/>
            </w:pPr>
            <w:r>
              <w:rPr>
                <w:rFonts w:ascii="宋体" w:eastAsia="宋体" w:hAnsi="宋体" w:cs="宋体"/>
                <w:b w:val="0"/>
                <w:i w:val="0"/>
                <w:color w:val="000000"/>
                <w:sz w:val="14"/>
              </w:rPr>
              <w:t xml:space="preserve">118.87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0.61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0.61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5.69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5.69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27.66</w:t>
            </w:r>
          </w:p>
        </w:tc>
        <w:tc>
          <w:tcPr>
            <w:tcW w:w="1060" w:type="dxa"/>
            <w:tcBorders/>
            <w:vAlign w:val="center"/>
          </w:tcPr>
          <w:p>
            <w:pPr>
              <w:jc w:val="right"/>
            </w:pPr>
            <w:r>
              <w:rPr>
                <w:rFonts w:ascii="宋体" w:eastAsia="宋体" w:hAnsi="宋体" w:cs="宋体"/>
                <w:b w:val="0"/>
                <w:i w:val="0"/>
                <w:color w:val="000000"/>
                <w:sz w:val="14"/>
              </w:rPr>
              <w:t xml:space="preserve">27.66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27.66</w:t>
            </w:r>
          </w:p>
        </w:tc>
        <w:tc>
          <w:tcPr>
            <w:tcW w:w="1060" w:type="dxa"/>
            <w:tcBorders/>
            <w:vAlign w:val="center"/>
          </w:tcPr>
          <w:p>
            <w:pPr>
              <w:jc w:val="right"/>
            </w:pPr>
            <w:r>
              <w:rPr>
                <w:rFonts w:ascii="宋体" w:eastAsia="宋体" w:hAnsi="宋体" w:cs="宋体"/>
                <w:b w:val="0"/>
                <w:i w:val="0"/>
                <w:color w:val="000000"/>
                <w:sz w:val="14"/>
              </w:rPr>
              <w:t xml:space="preserve">27.66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19.74</w:t>
            </w:r>
          </w:p>
        </w:tc>
        <w:tc>
          <w:tcPr>
            <w:tcW w:w="1060" w:type="dxa"/>
            <w:tcBorders/>
            <w:vAlign w:val="center"/>
          </w:tcPr>
          <w:p>
            <w:pPr>
              <w:jc w:val="right"/>
            </w:pPr>
            <w:r>
              <w:rPr>
                <w:rFonts w:ascii="宋体" w:eastAsia="宋体" w:hAnsi="宋体" w:cs="宋体"/>
                <w:b w:val="0"/>
                <w:i w:val="0"/>
                <w:color w:val="000000"/>
                <w:sz w:val="14"/>
              </w:rPr>
              <w:t xml:space="preserve">19.74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7.92</w:t>
            </w:r>
          </w:p>
        </w:tc>
        <w:tc>
          <w:tcPr>
            <w:tcW w:w="1060" w:type="dxa"/>
            <w:tcBorders/>
            <w:vAlign w:val="center"/>
          </w:tcPr>
          <w:p>
            <w:pPr>
              <w:jc w:val="right"/>
            </w:pPr>
            <w:r>
              <w:rPr>
                <w:rFonts w:ascii="宋体" w:eastAsia="宋体" w:hAnsi="宋体" w:cs="宋体"/>
                <w:b w:val="0"/>
                <w:i w:val="0"/>
                <w:color w:val="000000"/>
                <w:sz w:val="14"/>
              </w:rPr>
              <w:t xml:space="preserve">7.92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单位：辽宁省沈阳市浑南区东陵路小学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693.72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666.05</w:t>
            </w:r>
          </w:p>
        </w:tc>
        <w:tc>
          <w:tcPr>
            <w:tcW w:w="1100" w:type="dxa"/>
            <w:tcBorders/>
            <w:vAlign w:val="center"/>
          </w:tcPr>
          <w:p>
            <w:pPr>
              <w:jc w:val="right"/>
            </w:pPr>
            <w:r>
              <w:rPr>
                <w:rFonts w:ascii="宋体" w:eastAsia="宋体" w:hAnsi="宋体" w:cs="宋体"/>
                <w:b w:val="0"/>
                <w:i w:val="0"/>
                <w:color w:val="000000"/>
                <w:sz w:val="14"/>
              </w:rPr>
              <w:t xml:space="preserve">666.05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27.67</w:t>
            </w:r>
          </w:p>
        </w:tc>
        <w:tc>
          <w:tcPr>
            <w:tcW w:w="1100" w:type="dxa"/>
            <w:tcBorders/>
            <w:vAlign w:val="center"/>
          </w:tcPr>
          <w:p>
            <w:pPr>
              <w:jc w:val="right"/>
            </w:pPr>
            <w:r>
              <w:rPr>
                <w:rFonts w:ascii="宋体" w:eastAsia="宋体" w:hAnsi="宋体" w:cs="宋体"/>
                <w:b w:val="0"/>
                <w:i w:val="0"/>
                <w:color w:val="000000"/>
                <w:sz w:val="14"/>
              </w:rPr>
              <w:t xml:space="preserve">27.67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693.72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693.72</w:t>
            </w:r>
          </w:p>
        </w:tc>
        <w:tc>
          <w:tcPr>
            <w:tcW w:w="1100" w:type="dxa"/>
            <w:tcBorders/>
            <w:vAlign w:val="center"/>
          </w:tcPr>
          <w:p>
            <w:pPr>
              <w:jc w:val="right"/>
            </w:pPr>
            <w:r>
              <w:rPr>
                <w:rFonts w:ascii="宋体" w:eastAsia="宋体" w:hAnsi="宋体" w:cs="宋体"/>
                <w:b w:val="0"/>
                <w:i w:val="0"/>
                <w:color w:val="000000"/>
                <w:sz w:val="14"/>
              </w:rPr>
              <w:t xml:space="preserve">693.72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693.72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693.72</w:t>
            </w:r>
          </w:p>
        </w:tc>
        <w:tc>
          <w:tcPr>
            <w:tcW w:w="1100" w:type="dxa"/>
            <w:tcBorders/>
            <w:vAlign w:val="center"/>
          </w:tcPr>
          <w:p>
            <w:pPr>
              <w:jc w:val="right"/>
            </w:pPr>
            <w:r>
              <w:rPr>
                <w:rFonts w:ascii="宋体" w:eastAsia="宋体" w:hAnsi="宋体" w:cs="宋体"/>
                <w:b w:val="0"/>
                <w:i w:val="0"/>
                <w:color w:val="000000"/>
                <w:sz w:val="14"/>
              </w:rPr>
              <w:t xml:space="preserve">693.72</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单位：辽宁省沈阳市浑南区东陵路小学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693.72</w:t>
            </w:r>
          </w:p>
        </w:tc>
        <w:tc>
          <w:tcPr>
            <w:tcW w:w="1780" w:type="dxa"/>
            <w:tcBorders/>
            <w:vAlign w:val="center"/>
          </w:tcPr>
          <w:p>
            <w:pPr>
              <w:jc w:val="right"/>
            </w:pPr>
            <w:r>
              <w:rPr>
                <w:rFonts w:ascii="宋体" w:eastAsia="宋体" w:hAnsi="宋体" w:cs="宋体"/>
                <w:b/>
                <w:i w:val="0"/>
                <w:color w:val="000000"/>
                <w:sz w:val="18"/>
              </w:rPr>
              <w:t xml:space="preserve">539.76</w:t>
            </w:r>
          </w:p>
        </w:tc>
        <w:tc>
          <w:tcPr>
            <w:tcW w:w="1772" w:type="dxa"/>
            <w:tcBorders/>
            <w:vAlign w:val="center"/>
          </w:tcPr>
          <w:p>
            <w:pPr>
              <w:jc w:val="right"/>
            </w:pPr>
            <w:r>
              <w:rPr>
                <w:rFonts w:ascii="宋体" w:eastAsia="宋体" w:hAnsi="宋体" w:cs="宋体"/>
                <w:b/>
                <w:i w:val="0"/>
                <w:color w:val="000000"/>
                <w:sz w:val="18"/>
              </w:rPr>
              <w:t xml:space="preserve">153.96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666.05</w:t>
            </w:r>
          </w:p>
        </w:tc>
        <w:tc>
          <w:tcPr>
            <w:tcW w:w="1780" w:type="dxa"/>
            <w:tcBorders/>
            <w:vAlign w:val="center"/>
          </w:tcPr>
          <w:p>
            <w:pPr>
              <w:jc w:val="right"/>
            </w:pPr>
            <w:r>
              <w:rPr>
                <w:rFonts w:ascii="宋体" w:eastAsia="宋体" w:hAnsi="宋体" w:cs="宋体"/>
                <w:b w:val="0"/>
                <w:i w:val="0"/>
                <w:color w:val="000000"/>
                <w:sz w:val="18"/>
              </w:rPr>
              <w:t xml:space="preserve">512.09</w:t>
            </w:r>
          </w:p>
        </w:tc>
        <w:tc>
          <w:tcPr>
            <w:tcW w:w="1772" w:type="dxa"/>
            <w:tcBorders/>
            <w:vAlign w:val="center"/>
          </w:tcPr>
          <w:p>
            <w:pPr>
              <w:jc w:val="right"/>
            </w:pPr>
            <w:r>
              <w:rPr>
                <w:rFonts w:ascii="宋体" w:eastAsia="宋体" w:hAnsi="宋体" w:cs="宋体"/>
                <w:b w:val="0"/>
                <w:i w:val="0"/>
                <w:color w:val="000000"/>
                <w:sz w:val="18"/>
              </w:rPr>
              <w:t xml:space="preserve">153.96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660.36</w:t>
            </w:r>
          </w:p>
        </w:tc>
        <w:tc>
          <w:tcPr>
            <w:tcW w:w="1780" w:type="dxa"/>
            <w:tcBorders/>
            <w:vAlign w:val="center"/>
          </w:tcPr>
          <w:p>
            <w:pPr>
              <w:jc w:val="right"/>
            </w:pPr>
            <w:r>
              <w:rPr>
                <w:rFonts w:ascii="宋体" w:eastAsia="宋体" w:hAnsi="宋体" w:cs="宋体"/>
                <w:b w:val="0"/>
                <w:i w:val="0"/>
                <w:color w:val="000000"/>
                <w:sz w:val="18"/>
              </w:rPr>
              <w:t xml:space="preserve">512.09</w:t>
            </w:r>
          </w:p>
        </w:tc>
        <w:tc>
          <w:tcPr>
            <w:tcW w:w="1772" w:type="dxa"/>
            <w:tcBorders/>
            <w:vAlign w:val="center"/>
          </w:tcPr>
          <w:p>
            <w:pPr>
              <w:jc w:val="right"/>
            </w:pPr>
            <w:r>
              <w:rPr>
                <w:rFonts w:ascii="宋体" w:eastAsia="宋体" w:hAnsi="宋体" w:cs="宋体"/>
                <w:b w:val="0"/>
                <w:i w:val="0"/>
                <w:color w:val="000000"/>
                <w:sz w:val="18"/>
              </w:rPr>
              <w:t xml:space="preserve">148.27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2050201</w:t>
            </w:r>
          </w:p>
        </w:tc>
        <w:tc>
          <w:tcPr>
            <w:tcW w:w="4300" w:type="dxa"/>
            <w:tcBorders/>
            <w:vAlign w:val="center"/>
          </w:tcPr>
          <w:p>
            <w:pPr>
              <w:jc w:val="left"/>
            </w:pPr>
            <w:r>
              <w:rPr>
                <w:rFonts w:ascii="宋体" w:eastAsia="宋体" w:hAnsi="宋体" w:cs="宋体"/>
                <w:b w:val="0"/>
                <w:i w:val="0"/>
                <w:color w:val="000000"/>
                <w:sz w:val="18"/>
              </w:rPr>
              <w:t xml:space="preserve">学前教育</w:t>
            </w:r>
          </w:p>
        </w:tc>
        <w:tc>
          <w:tcPr>
            <w:tcW w:w="1780" w:type="dxa"/>
            <w:tcBorders/>
            <w:vAlign w:val="center"/>
          </w:tcPr>
          <w:p>
            <w:pPr>
              <w:jc w:val="right"/>
            </w:pPr>
            <w:r>
              <w:rPr>
                <w:rFonts w:ascii="宋体" w:eastAsia="宋体" w:hAnsi="宋体" w:cs="宋体"/>
                <w:b w:val="0"/>
                <w:i w:val="0"/>
                <w:color w:val="000000"/>
                <w:sz w:val="18"/>
              </w:rPr>
              <w:t xml:space="preserve">29.40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29.40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2050202</w:t>
            </w:r>
          </w:p>
        </w:tc>
        <w:tc>
          <w:tcPr>
            <w:tcW w:w="4300" w:type="dxa"/>
            <w:tcBorders/>
            <w:vAlign w:val="center"/>
          </w:tcPr>
          <w:p>
            <w:pPr>
              <w:jc w:val="left"/>
            </w:pPr>
            <w:r>
              <w:rPr>
                <w:rFonts w:ascii="宋体" w:eastAsia="宋体" w:hAnsi="宋体" w:cs="宋体"/>
                <w:b w:val="0"/>
                <w:i w:val="0"/>
                <w:color w:val="000000"/>
                <w:sz w:val="18"/>
              </w:rPr>
              <w:t xml:space="preserve">小学教育</w:t>
            </w:r>
          </w:p>
        </w:tc>
        <w:tc>
          <w:tcPr>
            <w:tcW w:w="1780" w:type="dxa"/>
            <w:tcBorders/>
            <w:vAlign w:val="center"/>
          </w:tcPr>
          <w:p>
            <w:pPr>
              <w:jc w:val="right"/>
            </w:pPr>
            <w:r>
              <w:rPr>
                <w:rFonts w:ascii="宋体" w:eastAsia="宋体" w:hAnsi="宋体" w:cs="宋体"/>
                <w:b w:val="0"/>
                <w:i w:val="0"/>
                <w:color w:val="000000"/>
                <w:sz w:val="18"/>
              </w:rPr>
              <w:t xml:space="preserve">630.96</w:t>
            </w:r>
          </w:p>
        </w:tc>
        <w:tc>
          <w:tcPr>
            <w:tcW w:w="1780" w:type="dxa"/>
            <w:tcBorders/>
            <w:vAlign w:val="center"/>
          </w:tcPr>
          <w:p>
            <w:pPr>
              <w:jc w:val="right"/>
            </w:pPr>
            <w:r>
              <w:rPr>
                <w:rFonts w:ascii="宋体" w:eastAsia="宋体" w:hAnsi="宋体" w:cs="宋体"/>
                <w:b w:val="0"/>
                <w:i w:val="0"/>
                <w:color w:val="000000"/>
                <w:sz w:val="18"/>
              </w:rPr>
              <w:t xml:space="preserve">512.09</w:t>
            </w:r>
          </w:p>
        </w:tc>
        <w:tc>
          <w:tcPr>
            <w:tcW w:w="1772" w:type="dxa"/>
            <w:tcBorders/>
            <w:vAlign w:val="center"/>
          </w:tcPr>
          <w:p>
            <w:pPr>
              <w:jc w:val="right"/>
            </w:pPr>
            <w:r>
              <w:rPr>
                <w:rFonts w:ascii="宋体" w:eastAsia="宋体" w:hAnsi="宋体" w:cs="宋体"/>
                <w:b w:val="0"/>
                <w:i w:val="0"/>
                <w:color w:val="000000"/>
                <w:sz w:val="18"/>
              </w:rPr>
              <w:t xml:space="preserve">118.87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5.69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5.69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5.69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5.69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27.66</w:t>
            </w:r>
          </w:p>
        </w:tc>
        <w:tc>
          <w:tcPr>
            <w:tcW w:w="1780" w:type="dxa"/>
            <w:tcBorders/>
            <w:vAlign w:val="center"/>
          </w:tcPr>
          <w:p>
            <w:pPr>
              <w:jc w:val="right"/>
            </w:pPr>
            <w:r>
              <w:rPr>
                <w:rFonts w:ascii="宋体" w:eastAsia="宋体" w:hAnsi="宋体" w:cs="宋体"/>
                <w:b w:val="0"/>
                <w:i w:val="0"/>
                <w:color w:val="000000"/>
                <w:sz w:val="18"/>
              </w:rPr>
              <w:t xml:space="preserve">27.66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27.66</w:t>
            </w:r>
          </w:p>
        </w:tc>
        <w:tc>
          <w:tcPr>
            <w:tcW w:w="1780" w:type="dxa"/>
            <w:tcBorders/>
            <w:vAlign w:val="center"/>
          </w:tcPr>
          <w:p>
            <w:pPr>
              <w:jc w:val="right"/>
            </w:pPr>
            <w:r>
              <w:rPr>
                <w:rFonts w:ascii="宋体" w:eastAsia="宋体" w:hAnsi="宋体" w:cs="宋体"/>
                <w:b w:val="0"/>
                <w:i w:val="0"/>
                <w:color w:val="000000"/>
                <w:sz w:val="18"/>
              </w:rPr>
              <w:t xml:space="preserve">27.66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19.74</w:t>
            </w:r>
          </w:p>
        </w:tc>
        <w:tc>
          <w:tcPr>
            <w:tcW w:w="1780" w:type="dxa"/>
            <w:tcBorders/>
            <w:vAlign w:val="center"/>
          </w:tcPr>
          <w:p>
            <w:pPr>
              <w:jc w:val="right"/>
            </w:pPr>
            <w:r>
              <w:rPr>
                <w:rFonts w:ascii="宋体" w:eastAsia="宋体" w:hAnsi="宋体" w:cs="宋体"/>
                <w:b w:val="0"/>
                <w:i w:val="0"/>
                <w:color w:val="000000"/>
                <w:sz w:val="18"/>
              </w:rPr>
              <w:t xml:space="preserve">19.74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7.92</w:t>
            </w:r>
          </w:p>
        </w:tc>
        <w:tc>
          <w:tcPr>
            <w:tcW w:w="1780" w:type="dxa"/>
            <w:tcBorders/>
            <w:vAlign w:val="center"/>
          </w:tcPr>
          <w:p>
            <w:pPr>
              <w:jc w:val="right"/>
            </w:pPr>
            <w:r>
              <w:rPr>
                <w:rFonts w:ascii="宋体" w:eastAsia="宋体" w:hAnsi="宋体" w:cs="宋体"/>
                <w:b w:val="0"/>
                <w:i w:val="0"/>
                <w:color w:val="000000"/>
                <w:sz w:val="18"/>
              </w:rPr>
              <w:t xml:space="preserve">7.92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单位：辽宁省沈阳市浑南区东陵路小学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490.35</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6.90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197.93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2.10</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58.49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17.63</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5.01</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110.33</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64.51</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7.92</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27.12</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jc w:val="right"/>
            </w:pPr>
            <w:r>
              <w:rPr>
                <w:rFonts w:ascii="宋体" w:eastAsia="宋体" w:hAnsi="宋体" w:cs="宋体"/>
                <w:b w:val="0"/>
                <w:i w:val="0"/>
                <w:color w:val="000000"/>
                <w:sz w:val="14"/>
              </w:rPr>
              <w:t xml:space="preserve">0.58</w:t>
            </w: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1.41</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42.51</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jc w:val="right"/>
            </w:pPr>
            <w:r>
              <w:rPr>
                <w:rFonts w:ascii="宋体" w:eastAsia="宋体" w:hAnsi="宋体" w:cs="宋体"/>
                <w:b w:val="0"/>
                <w:i w:val="0"/>
                <w:color w:val="000000"/>
                <w:sz w:val="14"/>
              </w:rPr>
              <w:t xml:space="preserve">14.67</w:t>
            </w: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0.66</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5.07</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20.19</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2.58</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3.56</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532.86</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6.90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单位：辽宁省沈阳市浑南区东陵路小学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单位：辽宁省沈阳市浑南区东陵路小学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单位：辽宁省沈阳市浑南区东陵路小学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沈阳市浑南区东陵路小学-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7.97</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7.97</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绩效目标任务完成，资金分配利用合理，学校正常运转，保证学校正常教育教学秩序</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完善管理制度；规范预算管理；强化过程监管；加强绩效管理，全面实施绩效评价，强化结果运用；</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建议继续全额安排预算资金。</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继续全额安排，提高资金使用效益。</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根据财政整体收支情况，统筹安排项目资金，本着过紧日子的原则，请预算单位根据工作实际需要，合理安排经费，提高财政资金使用效率。</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703"/>
        <w:gridCol w:w="703"/>
        <w:gridCol w:w="703"/>
        <w:gridCol w:w="666"/>
        <w:gridCol w:w="666"/>
        <w:gridCol w:w="666"/>
        <w:gridCol w:w="666"/>
        <w:gridCol w:w="666"/>
        <w:gridCol w:w="666"/>
        <w:gridCol w:w="666"/>
        <w:gridCol w:w="666"/>
        <w:gridCol w:w="925"/>
        <w:gridCol w:w="925"/>
        <w:gridCol w:w="925"/>
        <w:gridCol w:w="925"/>
        <w:gridCol w:w="925"/>
        <w:gridCol w:w="1850"/>
        <w:gridCol w:w="925"/>
      </w:tblGrid>
      <w:tr>
        <w:trPr>
          <w:trHeight w:hRule="exact" w:val="448"/>
          <w:jc w:val="center"/>
        </w:trPr>
        <w:tc>
          <w:tcPr>
            <w:tcW w:w="14837" w:type="dxa"/>
            <w:gridSpan w:val="18"/>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4"/>
              </w:rPr>
              <w:t xml:space="preserve">部门（单位）整体绩效自评表</w:t>
            </w:r>
          </w:p>
        </w:tc>
      </w:tr>
      <w:tr>
        <w:trPr>
          <w:trHeight w:hRule="exact" w:val="416"/>
          <w:jc w:val="center"/>
        </w:trPr>
        <w:tc>
          <w:tcPr>
            <w:tcW w:w="14837" w:type="dxa"/>
            <w:gridSpan w:val="18"/>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6"/>
              </w:rPr>
              <w:t xml:space="preserve">(2024年度)</w:t>
            </w:r>
          </w:p>
        </w:tc>
      </w:tr>
      <w:tr>
        <w:trPr>
          <w:trHeight w:hRule="exact" w:val="304"/>
          <w:jc w:val="center"/>
        </w:trPr>
        <w:tc>
          <w:tcPr>
            <w:tcW w:w="277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部门（单位）名称</w:t>
            </w:r>
          </w:p>
        </w:tc>
        <w:tc>
          <w:tcPr>
            <w:tcW w:w="1206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023028沈阳市浑南区东陵路小学-210112000</w:t>
            </w:r>
          </w:p>
        </w:tc>
      </w:tr>
      <w:tr>
        <w:trPr>
          <w:trHeight w:hRule="exact" w:val="320"/>
          <w:jc w:val="center"/>
        </w:trPr>
        <w:tc>
          <w:tcPr>
            <w:tcW w:w="277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部门年初预算收入金额</w:t>
            </w:r>
          </w:p>
        </w:tc>
        <w:tc>
          <w:tcPr>
            <w:tcW w:w="1206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589.19</w:t>
            </w:r>
          </w:p>
        </w:tc>
      </w:tr>
      <w:tr>
        <w:trPr>
          <w:trHeight w:hRule="exact" w:val="320"/>
          <w:jc w:val="center"/>
        </w:trPr>
        <w:tc>
          <w:tcPr>
            <w:tcW w:w="277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部门年初预算支出金额</w:t>
            </w:r>
          </w:p>
        </w:tc>
        <w:tc>
          <w:tcPr>
            <w:tcW w:w="1206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589.19</w:t>
            </w:r>
          </w:p>
        </w:tc>
      </w:tr>
      <w:tr>
        <w:trPr>
          <w:trHeight w:hRule="exact" w:val="320"/>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年度主要任务</w:t>
            </w: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对应项目</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项目下达金额</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项目执行金额</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项目执行率</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分值</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得分</w:t>
            </w:r>
          </w:p>
        </w:tc>
      </w:tr>
      <w:tr>
        <w:trPr>
          <w:trHeight w:hRule="exact" w:val="512"/>
          <w:jc w:val="center"/>
        </w:trPr>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年度主要任务</w:t>
            </w: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基本支出公用经费(保运转)</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3.56</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3.56</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r>
      <w:tr>
        <w:trPr>
          <w:trHeight w:hRule="exact" w:val="512"/>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基本支出人员经费(刚性)</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41.668691</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41.66</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r>
      <w:tr>
        <w:trPr>
          <w:trHeight w:hRule="exact" w:val="512"/>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基本支出公用经费(保基本民生)</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3.335167</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3.33</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r>
      <w:tr>
        <w:trPr>
          <w:trHeight w:hRule="exact" w:val="512"/>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基本支出人员经费(保工资)</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491.192848</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491.19</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r>
      <w:tr>
        <w:trPr>
          <w:trHeight w:hRule="exact" w:val="320"/>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年度目标</w:t>
            </w:r>
          </w:p>
        </w:tc>
        <w:tc>
          <w:tcPr>
            <w:tcW w:w="673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年初总体目标</w:t>
            </w: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全年完成情况</w:t>
            </w:r>
          </w:p>
        </w:tc>
      </w:tr>
      <w:tr>
        <w:trPr>
          <w:trHeight w:hRule="exact" w:val="512"/>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年度目标</w:t>
            </w:r>
          </w:p>
        </w:tc>
        <w:tc>
          <w:tcPr>
            <w:tcW w:w="673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完成本年重点工作任务，综合合理利用资金，完成预算要求</w:t>
            </w: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本年工作任务圆满完成，各项资金分配利用合理，资源配置合理，预算要求完成</w:t>
            </w:r>
          </w:p>
        </w:tc>
      </w:tr>
      <w:tr>
        <w:trPr>
          <w:trHeight w:hRule="exact" w:val="512"/>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绩效指标</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一级指标</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二级指标</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三级指标</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运算符号</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指标值</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度量单位</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全年完成值</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完成程度</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分值</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得分</w:t>
            </w:r>
          </w:p>
        </w:tc>
        <w:tc>
          <w:tcPr>
            <w:tcW w:w="4625"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偏差原因分析</w:t>
            </w:r>
          </w:p>
        </w:tc>
        <w:tc>
          <w:tcPr>
            <w:tcW w:w="2775"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改进措施</w:t>
            </w:r>
          </w:p>
        </w:tc>
      </w:tr>
      <w:tr>
        <w:trPr>
          <w:trHeight w:hRule="exact" w:val="1024"/>
          <w:jc w:val="center"/>
        </w:trPr>
        <w:tc>
          <w:tcPr>
            <w:tcW w:w="7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绩效指标</w:t>
            </w: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经费保障原因分析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制度保障原因分析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人员保障原因分析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硬件条件保障原因分析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其他原因分析</w:t>
            </w:r>
          </w:p>
        </w:tc>
        <w:tc>
          <w:tcPr>
            <w:tcW w:w="2775"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履职效能</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重点工作履行情况</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重点工作办结率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履职效能</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整体工作完成情况</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总体工作完成率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工作完成及时率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工作质量达标率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基础管理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依法行政能力</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综合管理水平</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68"/>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预算执行</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预算执行效率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预算执行率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68"/>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预算调整率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结转结余变动率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1.8</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1.8</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280"/>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管理效率</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预算绩效目标覆盖率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预算监督管理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预决算公开情况</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全部公开</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预算收支管理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预算支出管理规范性</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0.8</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0.8</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预算收入管理规范性</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财务管理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内控制度有效性</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制度有效</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固定资产利用率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048"/>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政府采购管理违法违规行为发生次数</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次</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280"/>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运行成本</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成本控制成效</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“三公”经费变动率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在职人员控制率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社会效应</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社会效益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提高家庭教育社会公共服务水平</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规范管理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68"/>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服务对象满意度</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学生满意率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&gt;=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95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95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68"/>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家长满意度</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&gt;=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792"/>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社会公众满意度</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社会公众对教育事业发展满意度</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&gt;=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68"/>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可持续性</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体制机制改革</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完成教学改革</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&gt;=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项</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完成校企改革</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规范管理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36"/>
          <w:jc w:val="center"/>
        </w:trPr>
        <w:tc>
          <w:tcPr>
            <w:tcW w:w="7437"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3"/>
              </w:rPr>
              <w:t xml:space="preserve">总评价得分</w:t>
            </w:r>
          </w:p>
        </w:tc>
        <w:tc>
          <w:tcPr>
            <w:tcW w:w="7400"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3"/>
              </w:rPr>
              <w:t xml:space="preserve">100</w:t>
            </w:r>
          </w:p>
        </w:tc>
      </w:tr>
      <w:tr>
        <w:trPr>
          <w:trHeight w:hRule="exact" w:val="304"/>
          <w:jc w:val="center"/>
        </w:trPr>
        <w:tc>
          <w:tcPr>
            <w:tcW w:w="2109"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结果应用建议</w:t>
            </w:r>
          </w:p>
        </w:tc>
        <w:tc>
          <w:tcPr>
            <w:tcW w:w="5328"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结果应用建议选项</w:t>
            </w: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具体建议内容</w:t>
            </w: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建议进一步规范预算管理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完善预算管理制度；强化预算过程监管；加强预算绩效管理，全面实施绩效评价，强化结果运用；</w:t>
            </w: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建议进一步提升预算执行效率和效益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建议改进政府采购管理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建议调整公共服务标准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结果应用建议_建议核减下一年度经费数额</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建议消减低效、无效资金或结构调整</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建议回收长期沉淀的资金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其他建议</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主管部门审核意见</w:t>
            </w: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建议继续全额安排</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建议继续全额安排预算资金。</w:t>
            </w: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建议继续安排，按规定调整下一年度预算金额</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规范预算管理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提升预算执行效率和效益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改进政府采购管理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调整公共服务标准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削减低效、无效资金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对资金结构进行调整</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收回长期沉淀的资金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其他意见</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主管部门总体意见</w:t>
            </w:r>
          </w:p>
        </w:tc>
        <w:tc>
          <w:tcPr>
            <w:tcW w:w="12728" w:type="dxa"/>
            <w:gridSpan w:val="15"/>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建议继续全额安排预算资金。</w:t>
            </w:r>
          </w:p>
        </w:tc>
      </w:tr>
      <w:tr>
        <w:trPr>
          <w:trHeight w:hRule="exact" w:val="304"/>
          <w:jc w:val="center"/>
        </w:trPr>
        <w:tc>
          <w:tcPr>
            <w:tcW w:w="2109"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财政部门审核意见</w:t>
            </w: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建议继续全额安排</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建议继续安排，按规定调整下一年度预算金额</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建议继续安排，按规定调整下一年经费数额</w:t>
            </w: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规范预算管理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提升预算执行效率和效益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改进政府采购管理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调整公共服务标准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削减低效、无效资金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对资金结构进行调整</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收回长期沉淀的资金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其他意见</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36"/>
          <w:jc w:val="center"/>
        </w:trPr>
        <w:tc>
          <w:tcPr>
            <w:tcW w:w="210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财政部门总体意见</w:t>
            </w:r>
          </w:p>
        </w:tc>
        <w:tc>
          <w:tcPr>
            <w:tcW w:w="12728" w:type="dxa"/>
            <w:gridSpan w:val="15"/>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该部门整体绩效运行监控效果较好，望你单位继续加强资金管理，发挥资金效益。</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沈阳市浑南区东陵路小学-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42.12</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42.12</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绩效目标任务按照要求全部完成，资金发放到位，保障教师利益</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完善教师绩效管理制度；规范预算管理；强化过程监管；加强绩效管理，全面实施绩效评价，强化结果运用；</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建议继续全额安排预算资金。</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继续全额安排，提高资金使用效益。</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根据财政整体收支情况，统筹安排项目资金，本着过紧日子的原则，请预算单位根据工作实际需要，合理安排经费，提高财政资金使用效率。</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沈阳市浑南区东陵路小学-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0.87</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0.87</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区聘教师资金发放到位，绩效目标任务完成</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完善区聘经费管理制度；规范预算管理；强化过程监管；加强绩效管理，全面实施绩效评价，强化结果运用；</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建议继续全额安排预算资金。</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继续全额安排，提高资金使用效益。</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根据财政整体收支情况，统筹安排项目资金，本着过紧日子的原则，请预算单位根据工作实际需要，合理安排经费，提高财政资金使用效率。</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沈阳市浑南区东陵路小学-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40.48</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40.48</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2020年第57次《区长办公会议纪要》中共浑南区委_浑南区人民政府关于印发《浑南区关于新时代教师队伍建设改革的实施意见（试行）》的通知，中共沈阳市浑南区信访工作联席会议会议纪要，"信访维稳经费1、李慧颖补助费2451.79*12=29421.48元。2、徐淑珍取暖费2210元。3、维稳经费118368.52元。"</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绩效目标任务完成，经费及时发放到位</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完善信访维稳管理制度；规范预算管理；强化过程监管；加强绩效管理，全面实施绩效评价，强化结果运用；</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建议继续全额安排预算资金。</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继续全额安排，提高资金使用效益。</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根据财政整体收支情况，统筹安排项目资金，本着过紧日子的原则，请预算单位根据工作实际需要，合理安排经费，提高财政资金使用效率。</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学前奖补-2024</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沈阳市浑南区东陵路小学-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28.21</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28.21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绩效目标任务完成，幼儿园日常保育教育工作有序开展，幼儿园运转正常，保证教育教学效果，保育教育质量逐步提升</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完善管理制度；规范预算管理；强化过程监管；加强绩效管理，全面实施绩效评价，强化结果运用；</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建议继续全额安排预算资金。</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继续全额安排，提高资金使用效益。</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根据财政整体收支情况，统筹安排项目资金，本着过紧日子的原则，请预算单位根据工作实际需要，合理安排经费，提高财政资金使用效率。</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沈阳市浑南区东陵路小学-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绩效目标任务全额完成，项目实施过程顺利，资金按时发放到位，保障学生利益</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完善学生资助管理制度；规范预算管理；强化过程监管；加强绩效管理，全面实施绩效评价，强化结果运用；</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建议继续全额安排预算资金。</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继续全额安排，提高资金使用效益。</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根据财政整体收支情况，统筹安排项目资金，本着过紧日子的原则，请预算单位根据工作实际需要，合理安排经费，提高财政资金使用效率。</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幼儿园保育费-2024</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沈阳市浑南区东陵路小学-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6.06</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6.06</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绩效目标任务完成，合理利用分配资金，幼儿园日常教学活动有序开展，保证教学质量</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完善保教费管理制度；规范预算管理；强化过程监管；加强绩效管理，全面实施绩效评价，强化结果运用；</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建议继续全额安排预算资金。</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继续全额安排，提高资金使用效益。</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根据财政整体收支情况，统筹安排项目资金，本着过紧日子的原则，请预算单位根据工作实际需要，合理安排经费，提高财政资金使用效率。</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